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5F705">
      <w:pPr>
        <w:spacing w:line="246" w:lineRule="auto"/>
      </w:pPr>
    </w:p>
    <w:p w14:paraId="1E0BC5A4">
      <w:pPr>
        <w:spacing w:before="117" w:line="211" w:lineRule="auto"/>
        <w:ind w:left="2330"/>
        <w:outlineLvl w:val="0"/>
        <w:rPr>
          <w:rFonts w:ascii="黑体" w:hAnsi="黑体" w:eastAsia="黑体" w:cs="黑体"/>
          <w:sz w:val="36"/>
          <w:szCs w:val="36"/>
          <w:lang w:eastAsia="zh-CN"/>
        </w:rPr>
      </w:pPr>
      <w:r>
        <w:rPr>
          <w:rFonts w:ascii="黑体" w:hAnsi="黑体" w:eastAsia="黑体" w:cs="黑体"/>
          <w:b/>
          <w:bCs/>
          <w:spacing w:val="-5"/>
          <w:sz w:val="36"/>
          <w:szCs w:val="36"/>
          <w:lang w:eastAsia="zh-CN"/>
        </w:rPr>
        <w:t>广西农业职业技术大学</w:t>
      </w:r>
    </w:p>
    <w:p w14:paraId="1CC2FB4B">
      <w:pPr>
        <w:spacing w:before="1" w:line="218" w:lineRule="auto"/>
        <w:ind w:left="1810"/>
        <w:rPr>
          <w:rFonts w:ascii="宋体" w:hAnsi="宋体" w:eastAsia="宋体" w:cs="宋体"/>
          <w:sz w:val="36"/>
          <w:szCs w:val="36"/>
          <w:lang w:eastAsia="zh-CN"/>
        </w:rPr>
      </w:pPr>
      <w:r>
        <w:rPr>
          <w:rFonts w:ascii="宋体" w:hAnsi="宋体" w:eastAsia="宋体" w:cs="宋体"/>
          <w:b/>
          <w:bCs/>
          <w:spacing w:val="-4"/>
          <w:sz w:val="36"/>
          <w:szCs w:val="36"/>
          <w:lang w:eastAsia="zh-CN"/>
        </w:rPr>
        <w:t>货物、服务类采购项目需求表</w:t>
      </w:r>
    </w:p>
    <w:tbl>
      <w:tblPr>
        <w:tblStyle w:val="6"/>
        <w:tblW w:w="10355" w:type="dxa"/>
        <w:tblInd w:w="-9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4"/>
        <w:gridCol w:w="744"/>
        <w:gridCol w:w="573"/>
        <w:gridCol w:w="326"/>
        <w:gridCol w:w="2525"/>
        <w:gridCol w:w="2053"/>
        <w:gridCol w:w="53"/>
        <w:gridCol w:w="559"/>
        <w:gridCol w:w="419"/>
        <w:gridCol w:w="639"/>
        <w:gridCol w:w="889"/>
        <w:gridCol w:w="1211"/>
      </w:tblGrid>
      <w:tr w14:paraId="57100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08" w:type="dxa"/>
            <w:gridSpan w:val="2"/>
            <w:vAlign w:val="center"/>
          </w:tcPr>
          <w:p w14:paraId="10F87A8B">
            <w:pPr>
              <w:pStyle w:val="7"/>
              <w:keepNext w:val="0"/>
              <w:keepLines w:val="0"/>
              <w:pageBreakBefore w:val="0"/>
              <w:widowControl/>
              <w:kinsoku w:val="0"/>
              <w:wordWrap/>
              <w:overflowPunct/>
              <w:topLinePunct w:val="0"/>
              <w:autoSpaceDE w:val="0"/>
              <w:autoSpaceDN w:val="0"/>
              <w:bidi w:val="0"/>
              <w:adjustRightInd w:val="0"/>
              <w:snapToGrid w:val="0"/>
              <w:spacing w:line="220" w:lineRule="auto"/>
              <w:ind w:left="0"/>
              <w:jc w:val="center"/>
              <w:textAlignment w:val="baseline"/>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项目名称</w:t>
            </w:r>
          </w:p>
        </w:tc>
        <w:tc>
          <w:tcPr>
            <w:tcW w:w="3424" w:type="dxa"/>
            <w:gridSpan w:val="3"/>
            <w:shd w:val="clear" w:color="auto" w:fill="auto"/>
            <w:vAlign w:val="center"/>
          </w:tcPr>
          <w:p w14:paraId="4BBA06DB">
            <w:pPr>
              <w:pStyle w:val="7"/>
              <w:keepNext w:val="0"/>
              <w:keepLines w:val="0"/>
              <w:pageBreakBefore w:val="0"/>
              <w:widowControl/>
              <w:kinsoku w:val="0"/>
              <w:wordWrap/>
              <w:overflowPunct/>
              <w:topLinePunct w:val="0"/>
              <w:autoSpaceDE w:val="0"/>
              <w:autoSpaceDN w:val="0"/>
              <w:bidi w:val="0"/>
              <w:adjustRightInd w:val="0"/>
              <w:snapToGrid w:val="0"/>
              <w:spacing w:line="215" w:lineRule="auto"/>
              <w:ind w:left="0"/>
              <w:jc w:val="center"/>
              <w:textAlignment w:val="baseline"/>
              <w:rPr>
                <w:rFonts w:hint="default" w:asciiTheme="minorEastAsia" w:hAnsiTheme="minorEastAsia" w:eastAsiaTheme="minorEastAsia" w:cstheme="minorEastAsia"/>
                <w:snapToGrid w:val="0"/>
                <w:color w:val="000000"/>
                <w:sz w:val="21"/>
                <w:szCs w:val="21"/>
                <w:lang w:val="en-US" w:eastAsia="zh-CN" w:bidi="ar-SA"/>
              </w:rPr>
            </w:pPr>
            <w:r>
              <w:rPr>
                <w:rFonts w:hint="default" w:asciiTheme="minorEastAsia" w:hAnsiTheme="minorEastAsia" w:eastAsiaTheme="minorEastAsia" w:cstheme="minorEastAsia"/>
                <w:sz w:val="21"/>
                <w:szCs w:val="21"/>
                <w:lang w:val="en-US" w:eastAsia="zh-CN"/>
              </w:rPr>
              <w:t>农业工程学院-双高专项（提升产教融合水平）-2025年</w:t>
            </w:r>
            <w:r>
              <w:rPr>
                <w:rFonts w:hint="eastAsia" w:asciiTheme="minorEastAsia" w:hAnsiTheme="minorEastAsia" w:eastAsiaTheme="minorEastAsia" w:cstheme="minorEastAsia"/>
                <w:sz w:val="21"/>
                <w:szCs w:val="21"/>
                <w:lang w:val="en-US" w:eastAsia="zh-CN"/>
              </w:rPr>
              <w:t>昆虫实训基地建设</w:t>
            </w:r>
            <w:r>
              <w:rPr>
                <w:rFonts w:hint="default" w:asciiTheme="minorEastAsia" w:hAnsiTheme="minorEastAsia" w:eastAsiaTheme="minorEastAsia" w:cstheme="minorEastAsia"/>
                <w:sz w:val="21"/>
                <w:szCs w:val="21"/>
                <w:lang w:val="en-US" w:eastAsia="zh-CN"/>
              </w:rPr>
              <w:t>采购项目</w:t>
            </w:r>
          </w:p>
        </w:tc>
        <w:tc>
          <w:tcPr>
            <w:tcW w:w="2053" w:type="dxa"/>
            <w:vAlign w:val="center"/>
          </w:tcPr>
          <w:p w14:paraId="106FE6C1">
            <w:pPr>
              <w:pStyle w:val="7"/>
              <w:keepNext w:val="0"/>
              <w:keepLines w:val="0"/>
              <w:pageBreakBefore w:val="0"/>
              <w:widowControl/>
              <w:kinsoku w:val="0"/>
              <w:wordWrap/>
              <w:overflowPunct/>
              <w:topLinePunct w:val="0"/>
              <w:autoSpaceDE w:val="0"/>
              <w:autoSpaceDN w:val="0"/>
              <w:bidi w:val="0"/>
              <w:adjustRightInd w:val="0"/>
              <w:snapToGrid w:val="0"/>
              <w:spacing w:line="219" w:lineRule="auto"/>
              <w:ind w:left="0"/>
              <w:jc w:val="center"/>
              <w:textAlignment w:val="baseline"/>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预算金额(元)</w:t>
            </w:r>
          </w:p>
        </w:tc>
        <w:tc>
          <w:tcPr>
            <w:tcW w:w="3770" w:type="dxa"/>
            <w:gridSpan w:val="6"/>
            <w:vAlign w:val="center"/>
          </w:tcPr>
          <w:p w14:paraId="70FB5BD4">
            <w:pPr>
              <w:pStyle w:val="7"/>
              <w:keepNext w:val="0"/>
              <w:keepLines w:val="0"/>
              <w:pageBreakBefore w:val="0"/>
              <w:widowControl/>
              <w:kinsoku w:val="0"/>
              <w:wordWrap/>
              <w:overflowPunct/>
              <w:topLinePunct w:val="0"/>
              <w:autoSpaceDE w:val="0"/>
              <w:autoSpaceDN w:val="0"/>
              <w:bidi w:val="0"/>
              <w:adjustRightInd w:val="0"/>
              <w:snapToGrid w:val="0"/>
              <w:ind w:left="0"/>
              <w:jc w:val="center"/>
              <w:textAlignment w:val="baseline"/>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w:t>
            </w:r>
            <w:r>
              <w:rPr>
                <w:rFonts w:asciiTheme="minorEastAsia" w:hAnsiTheme="minorEastAsia" w:eastAsiaTheme="minorEastAsia" w:cstheme="minorEastAsia"/>
                <w:sz w:val="21"/>
                <w:szCs w:val="21"/>
                <w:lang w:eastAsia="zh-CN"/>
              </w:rPr>
              <w:t>046</w:t>
            </w:r>
            <w:r>
              <w:rPr>
                <w:rFonts w:hint="eastAsia" w:asciiTheme="minorEastAsia" w:hAnsiTheme="minorEastAsia" w:eastAsiaTheme="minorEastAsia" w:cstheme="minorEastAsia"/>
                <w:sz w:val="21"/>
                <w:szCs w:val="21"/>
                <w:lang w:eastAsia="zh-CN"/>
              </w:rPr>
              <w:t>0</w:t>
            </w:r>
            <w:r>
              <w:rPr>
                <w:rFonts w:hint="eastAsia" w:asciiTheme="minorEastAsia" w:hAnsiTheme="minorEastAsia" w:eastAsiaTheme="minorEastAsia" w:cstheme="minorEastAsia"/>
                <w:sz w:val="21"/>
                <w:szCs w:val="21"/>
              </w:rPr>
              <w:t>0</w:t>
            </w:r>
            <w:r>
              <w:rPr>
                <w:rFonts w:hint="eastAsia" w:asciiTheme="minorEastAsia" w:hAnsiTheme="minorEastAsia" w:eastAsiaTheme="minorEastAsia" w:cstheme="minorEastAsia"/>
                <w:sz w:val="21"/>
                <w:szCs w:val="21"/>
                <w:lang w:eastAsia="zh-CN"/>
              </w:rPr>
              <w:t>.00</w:t>
            </w:r>
          </w:p>
        </w:tc>
      </w:tr>
      <w:tr w14:paraId="3D2FF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0355" w:type="dxa"/>
            <w:gridSpan w:val="12"/>
          </w:tcPr>
          <w:p w14:paraId="67EE4015">
            <w:pPr>
              <w:pStyle w:val="7"/>
              <w:spacing w:before="173" w:line="219" w:lineRule="auto"/>
              <w:ind w:left="1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一、技术要求</w:t>
            </w:r>
          </w:p>
        </w:tc>
      </w:tr>
      <w:tr w14:paraId="74AB1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textDirection w:val="tbRlV"/>
            <w:vAlign w:val="center"/>
          </w:tcPr>
          <w:p w14:paraId="485DB789">
            <w:pPr>
              <w:pStyle w:val="7"/>
              <w:spacing w:before="113" w:line="199" w:lineRule="auto"/>
              <w:ind w:left="353"/>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w:t>
            </w:r>
            <w:r>
              <w:rPr>
                <w:rFonts w:hint="eastAsia" w:asciiTheme="minorEastAsia" w:hAnsiTheme="minorEastAsia" w:eastAsiaTheme="minorEastAsia" w:cstheme="minorEastAsia"/>
                <w:spacing w:val="83"/>
                <w:sz w:val="21"/>
                <w:szCs w:val="21"/>
              </w:rPr>
              <w:t xml:space="preserve"> </w:t>
            </w:r>
            <w:r>
              <w:rPr>
                <w:rFonts w:hint="eastAsia" w:asciiTheme="minorEastAsia" w:hAnsiTheme="minorEastAsia" w:eastAsiaTheme="minorEastAsia" w:cstheme="minorEastAsia"/>
                <w:sz w:val="21"/>
                <w:szCs w:val="21"/>
              </w:rPr>
              <w:t>号</w:t>
            </w:r>
          </w:p>
        </w:tc>
        <w:tc>
          <w:tcPr>
            <w:tcW w:w="744" w:type="dxa"/>
            <w:vAlign w:val="center"/>
          </w:tcPr>
          <w:p w14:paraId="5F4F50A9">
            <w:pPr>
              <w:pStyle w:val="7"/>
              <w:spacing w:before="74" w:line="219" w:lineRule="auto"/>
              <w:ind w:left="16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采购内容</w:t>
            </w:r>
          </w:p>
        </w:tc>
        <w:tc>
          <w:tcPr>
            <w:tcW w:w="899" w:type="dxa"/>
            <w:gridSpan w:val="2"/>
            <w:vAlign w:val="center"/>
          </w:tcPr>
          <w:p w14:paraId="68BEB08A">
            <w:pPr>
              <w:pStyle w:val="7"/>
              <w:spacing w:before="75" w:line="219" w:lineRule="auto"/>
              <w:ind w:left="91"/>
              <w:jc w:val="center"/>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7"/>
                <w:sz w:val="21"/>
                <w:szCs w:val="21"/>
              </w:rPr>
              <w:t>品</w:t>
            </w:r>
            <w:r>
              <w:rPr>
                <w:rFonts w:hint="eastAsia" w:asciiTheme="minorEastAsia" w:hAnsiTheme="minorEastAsia" w:eastAsiaTheme="minorEastAsia" w:cstheme="minorEastAsia"/>
                <w:spacing w:val="4"/>
                <w:sz w:val="21"/>
                <w:szCs w:val="21"/>
              </w:rPr>
              <w:t>牌</w:t>
            </w:r>
          </w:p>
          <w:p w14:paraId="3C430D70">
            <w:pPr>
              <w:pStyle w:val="7"/>
              <w:spacing w:before="75" w:line="219" w:lineRule="auto"/>
              <w:ind w:left="91"/>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型号</w:t>
            </w:r>
          </w:p>
        </w:tc>
        <w:tc>
          <w:tcPr>
            <w:tcW w:w="4631" w:type="dxa"/>
            <w:gridSpan w:val="3"/>
            <w:vAlign w:val="center"/>
          </w:tcPr>
          <w:p w14:paraId="191D3FCB">
            <w:pPr>
              <w:pStyle w:val="7"/>
              <w:spacing w:before="75" w:line="219" w:lineRule="auto"/>
              <w:ind w:left="532"/>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技术参数</w:t>
            </w:r>
          </w:p>
        </w:tc>
        <w:tc>
          <w:tcPr>
            <w:tcW w:w="559" w:type="dxa"/>
            <w:vAlign w:val="center"/>
          </w:tcPr>
          <w:p w14:paraId="785F1610">
            <w:pPr>
              <w:pStyle w:val="7"/>
              <w:spacing w:before="75" w:line="221" w:lineRule="auto"/>
              <w:ind w:left="44"/>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计量</w:t>
            </w:r>
          </w:p>
          <w:p w14:paraId="3EAB49C1">
            <w:pPr>
              <w:pStyle w:val="7"/>
              <w:spacing w:before="34" w:line="220" w:lineRule="auto"/>
              <w:ind w:left="44"/>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单位</w:t>
            </w:r>
          </w:p>
        </w:tc>
        <w:tc>
          <w:tcPr>
            <w:tcW w:w="419" w:type="dxa"/>
            <w:textDirection w:val="tbRlV"/>
            <w:vAlign w:val="center"/>
          </w:tcPr>
          <w:p w14:paraId="06F46B9D">
            <w:pPr>
              <w:pStyle w:val="7"/>
              <w:spacing w:before="101" w:line="201" w:lineRule="auto"/>
              <w:ind w:left="373"/>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w:t>
            </w:r>
            <w:r>
              <w:rPr>
                <w:rFonts w:hint="eastAsia" w:asciiTheme="minorEastAsia" w:hAnsiTheme="minorEastAsia" w:eastAsiaTheme="minorEastAsia" w:cstheme="minorEastAsia"/>
                <w:spacing w:val="47"/>
                <w:sz w:val="21"/>
                <w:szCs w:val="21"/>
              </w:rPr>
              <w:t xml:space="preserve"> </w:t>
            </w:r>
            <w:r>
              <w:rPr>
                <w:rFonts w:hint="eastAsia" w:asciiTheme="minorEastAsia" w:hAnsiTheme="minorEastAsia" w:eastAsiaTheme="minorEastAsia" w:cstheme="minorEastAsia"/>
                <w:sz w:val="21"/>
                <w:szCs w:val="21"/>
              </w:rPr>
              <w:t>量</w:t>
            </w:r>
          </w:p>
        </w:tc>
        <w:tc>
          <w:tcPr>
            <w:tcW w:w="639" w:type="dxa"/>
            <w:vAlign w:val="center"/>
          </w:tcPr>
          <w:p w14:paraId="29556D6D">
            <w:pPr>
              <w:pStyle w:val="7"/>
              <w:spacing w:before="75" w:line="218" w:lineRule="auto"/>
              <w:ind w:left="86"/>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单价</w:t>
            </w:r>
          </w:p>
          <w:p w14:paraId="439643A4">
            <w:pPr>
              <w:pStyle w:val="7"/>
              <w:spacing w:before="51" w:line="220" w:lineRule="auto"/>
              <w:ind w:left="86"/>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6"/>
                <w:sz w:val="21"/>
                <w:szCs w:val="21"/>
              </w:rPr>
              <w:t>(元)</w:t>
            </w:r>
          </w:p>
        </w:tc>
        <w:tc>
          <w:tcPr>
            <w:tcW w:w="889" w:type="dxa"/>
            <w:vAlign w:val="center"/>
          </w:tcPr>
          <w:p w14:paraId="7B13F795">
            <w:pPr>
              <w:pStyle w:val="7"/>
              <w:spacing w:before="75" w:line="221" w:lineRule="auto"/>
              <w:ind w:left="207"/>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小计</w:t>
            </w:r>
          </w:p>
          <w:p w14:paraId="4D937329">
            <w:pPr>
              <w:pStyle w:val="7"/>
              <w:spacing w:before="34" w:line="220" w:lineRule="auto"/>
              <w:ind w:left="207"/>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6"/>
                <w:sz w:val="21"/>
                <w:szCs w:val="21"/>
              </w:rPr>
              <w:t>(元)</w:t>
            </w:r>
          </w:p>
        </w:tc>
        <w:tc>
          <w:tcPr>
            <w:tcW w:w="1211" w:type="dxa"/>
            <w:vAlign w:val="center"/>
          </w:tcPr>
          <w:p w14:paraId="2A80FE76">
            <w:pPr>
              <w:pStyle w:val="7"/>
              <w:spacing w:before="124" w:line="219" w:lineRule="auto"/>
              <w:jc w:val="center"/>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2"/>
                <w:sz w:val="21"/>
                <w:szCs w:val="21"/>
                <w:lang w:eastAsia="zh-CN"/>
              </w:rPr>
              <w:t>说明</w:t>
            </w:r>
          </w:p>
          <w:p w14:paraId="3F289CED">
            <w:pPr>
              <w:pStyle w:val="7"/>
              <w:spacing w:before="40" w:line="237" w:lineRule="auto"/>
              <w:ind w:left="19" w:firstLine="58"/>
              <w:jc w:val="center"/>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7"/>
                <w:sz w:val="21"/>
                <w:szCs w:val="21"/>
                <w:lang w:eastAsia="zh-CN"/>
              </w:rPr>
              <w:t>(必要性、</w:t>
            </w:r>
            <w:r>
              <w:rPr>
                <w:rFonts w:hint="eastAsia" w:asciiTheme="minorEastAsia" w:hAnsiTheme="minorEastAsia" w:eastAsiaTheme="minorEastAsia" w:cstheme="minorEastAsia"/>
                <w:spacing w:val="2"/>
                <w:sz w:val="21"/>
                <w:szCs w:val="21"/>
                <w:lang w:eastAsia="zh-CN"/>
              </w:rPr>
              <w:t xml:space="preserve"> </w:t>
            </w:r>
            <w:r>
              <w:rPr>
                <w:rFonts w:hint="eastAsia" w:asciiTheme="minorEastAsia" w:hAnsiTheme="minorEastAsia" w:eastAsiaTheme="minorEastAsia" w:cstheme="minorEastAsia"/>
                <w:spacing w:val="-7"/>
                <w:sz w:val="21"/>
                <w:szCs w:val="21"/>
                <w:lang w:eastAsia="zh-CN"/>
              </w:rPr>
              <w:t>用途、存放</w:t>
            </w: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pacing w:val="9"/>
                <w:sz w:val="21"/>
                <w:szCs w:val="21"/>
                <w:lang w:eastAsia="zh-CN"/>
              </w:rPr>
              <w:t>地点等)</w:t>
            </w:r>
          </w:p>
        </w:tc>
      </w:tr>
      <w:tr w14:paraId="23ED7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5B3D2F4D">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1</w:t>
            </w:r>
          </w:p>
        </w:tc>
        <w:tc>
          <w:tcPr>
            <w:tcW w:w="744" w:type="dxa"/>
            <w:vAlign w:val="center"/>
          </w:tcPr>
          <w:p w14:paraId="188B0E1C">
            <w:pPr>
              <w:jc w:val="left"/>
              <w:textAlignment w:val="center"/>
              <w:rPr>
                <w:rFonts w:ascii="宋体" w:hAnsi="宋体" w:eastAsia="宋体" w:cs="宋体"/>
                <w:spacing w:val="-2"/>
                <w:sz w:val="21"/>
                <w:szCs w:val="21"/>
              </w:rPr>
            </w:pPr>
            <w:r>
              <w:rPr>
                <w:rFonts w:hint="eastAsia" w:ascii="宋体" w:hAnsi="宋体" w:eastAsia="宋体" w:cs="宋体"/>
                <w:sz w:val="21"/>
                <w:szCs w:val="21"/>
                <w:lang w:eastAsia="zh-CN" w:bidi="ar"/>
              </w:rPr>
              <w:t>昆虫标本采集工具</w:t>
            </w:r>
          </w:p>
        </w:tc>
        <w:tc>
          <w:tcPr>
            <w:tcW w:w="899" w:type="dxa"/>
            <w:gridSpan w:val="2"/>
            <w:vAlign w:val="center"/>
          </w:tcPr>
          <w:p w14:paraId="6348C810">
            <w:pPr>
              <w:jc w:val="left"/>
              <w:textAlignment w:val="center"/>
              <w:rPr>
                <w:rFonts w:ascii="宋体" w:hAnsi="宋体" w:eastAsia="宋体" w:cs="宋体"/>
                <w:spacing w:val="4"/>
                <w:sz w:val="21"/>
                <w:szCs w:val="21"/>
              </w:rPr>
            </w:pPr>
            <w:r>
              <w:rPr>
                <w:rFonts w:hint="eastAsia" w:ascii="宋体" w:hAnsi="宋体" w:eastAsia="宋体" w:cs="宋体"/>
                <w:sz w:val="21"/>
                <w:szCs w:val="21"/>
                <w:lang w:eastAsia="zh-CN" w:bidi="ar"/>
              </w:rPr>
              <w:t>宝元兴业/BY-CJ475</w:t>
            </w:r>
          </w:p>
        </w:tc>
        <w:tc>
          <w:tcPr>
            <w:tcW w:w="4631" w:type="dxa"/>
            <w:gridSpan w:val="3"/>
            <w:vAlign w:val="center"/>
          </w:tcPr>
          <w:p w14:paraId="62727669">
            <w:pPr>
              <w:spacing w:line="400" w:lineRule="exact"/>
              <w:jc w:val="left"/>
              <w:textAlignment w:val="center"/>
              <w:rPr>
                <w:rFonts w:ascii="宋体" w:hAnsi="宋体" w:eastAsia="宋体" w:cs="宋体"/>
                <w:spacing w:val="-2"/>
                <w:sz w:val="21"/>
                <w:szCs w:val="21"/>
                <w:lang w:eastAsia="zh-CN"/>
              </w:rPr>
            </w:pPr>
            <w:r>
              <w:rPr>
                <w:rFonts w:hint="eastAsia" w:ascii="宋体" w:hAnsi="宋体" w:eastAsia="宋体" w:cs="宋体"/>
                <w:sz w:val="21"/>
                <w:szCs w:val="21"/>
                <w:lang w:eastAsia="zh-CN" w:bidi="ar"/>
              </w:rPr>
              <w:t>配置：多功能采集斧，解剖镊，毒瓶试剂，昆虫记录表，三件套(采集锨)，充电手电筒，养虫盒，指南针，折叠锹，检疫手套，3 米钢卷尺，铅笔，折叠手锯，解剖剪，昆虫采集管，植物记录表，三件套(采集耙，美工刀，保温杯，剪枝剪，标本袋，检疫口罩，水桶，三角纸袋，带光源放大镜，毒瓶，捕虫网，三件套(采集铲)，标本刷，昆虫盒，多用刮树挠，环剥器，计数器，标签纸，芽接刀，铝合金手提箱，规格475*285*175mm。</w:t>
            </w:r>
          </w:p>
        </w:tc>
        <w:tc>
          <w:tcPr>
            <w:tcW w:w="559" w:type="dxa"/>
            <w:vAlign w:val="center"/>
          </w:tcPr>
          <w:p w14:paraId="37FA3A22">
            <w:pPr>
              <w:jc w:val="left"/>
              <w:textAlignment w:val="center"/>
              <w:rPr>
                <w:rFonts w:ascii="宋体" w:hAnsi="宋体" w:eastAsia="宋体" w:cs="宋体"/>
                <w:spacing w:val="-3"/>
                <w:sz w:val="21"/>
                <w:szCs w:val="21"/>
              </w:rPr>
            </w:pPr>
            <w:r>
              <w:rPr>
                <w:rFonts w:hint="eastAsia" w:ascii="宋体" w:hAnsi="宋体" w:eastAsia="宋体" w:cs="宋体"/>
                <w:sz w:val="21"/>
                <w:szCs w:val="21"/>
                <w:lang w:eastAsia="zh-CN" w:bidi="ar"/>
              </w:rPr>
              <w:t>套</w:t>
            </w:r>
          </w:p>
        </w:tc>
        <w:tc>
          <w:tcPr>
            <w:tcW w:w="419" w:type="dxa"/>
            <w:vAlign w:val="center"/>
          </w:tcPr>
          <w:p w14:paraId="3F84EADD">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50</w:t>
            </w:r>
          </w:p>
        </w:tc>
        <w:tc>
          <w:tcPr>
            <w:tcW w:w="639" w:type="dxa"/>
            <w:tcBorders>
              <w:top w:val="nil"/>
              <w:left w:val="nil"/>
              <w:bottom w:val="single" w:color="000000" w:sz="8" w:space="0"/>
              <w:right w:val="single" w:color="000000" w:sz="8" w:space="0"/>
            </w:tcBorders>
            <w:shd w:val="clear" w:color="auto" w:fill="auto"/>
            <w:vAlign w:val="center"/>
          </w:tcPr>
          <w:p w14:paraId="106699F7">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700</w:t>
            </w:r>
          </w:p>
        </w:tc>
        <w:tc>
          <w:tcPr>
            <w:tcW w:w="889" w:type="dxa"/>
            <w:tcBorders>
              <w:top w:val="nil"/>
              <w:left w:val="nil"/>
              <w:bottom w:val="single" w:color="000000" w:sz="8" w:space="0"/>
              <w:right w:val="single" w:color="000000" w:sz="8" w:space="0"/>
            </w:tcBorders>
            <w:shd w:val="clear" w:color="auto" w:fill="auto"/>
            <w:vAlign w:val="center"/>
          </w:tcPr>
          <w:p w14:paraId="7B92A7F9">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35000</w:t>
            </w:r>
          </w:p>
        </w:tc>
        <w:tc>
          <w:tcPr>
            <w:tcW w:w="1211" w:type="dxa"/>
            <w:vAlign w:val="center"/>
          </w:tcPr>
          <w:p w14:paraId="563767DC">
            <w:pPr>
              <w:jc w:val="left"/>
              <w:textAlignment w:val="center"/>
              <w:rPr>
                <w:rFonts w:hint="default" w:ascii="宋体" w:hAnsi="宋体" w:eastAsia="宋体" w:cs="宋体"/>
                <w:sz w:val="21"/>
                <w:szCs w:val="21"/>
                <w:lang w:val="en-US" w:eastAsia="zh-CN" w:bidi="ar"/>
              </w:rPr>
            </w:pPr>
            <w:r>
              <w:rPr>
                <w:rFonts w:hint="eastAsia" w:ascii="宋体" w:hAnsi="宋体" w:eastAsia="宋体" w:cs="宋体"/>
                <w:sz w:val="21"/>
                <w:szCs w:val="21"/>
                <w:lang w:val="en-US" w:eastAsia="zh-CN" w:bidi="ar"/>
              </w:rPr>
              <w:t>北区5栋503室</w:t>
            </w:r>
          </w:p>
        </w:tc>
      </w:tr>
      <w:tr w14:paraId="0C548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200698AA">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2</w:t>
            </w:r>
          </w:p>
        </w:tc>
        <w:tc>
          <w:tcPr>
            <w:tcW w:w="744" w:type="dxa"/>
            <w:vAlign w:val="center"/>
          </w:tcPr>
          <w:p w14:paraId="6415C190">
            <w:pPr>
              <w:jc w:val="left"/>
              <w:textAlignment w:val="center"/>
              <w:rPr>
                <w:rFonts w:ascii="宋体" w:hAnsi="宋体" w:eastAsia="宋体" w:cs="宋体"/>
                <w:spacing w:val="-2"/>
                <w:sz w:val="21"/>
                <w:szCs w:val="21"/>
              </w:rPr>
            </w:pPr>
            <w:r>
              <w:rPr>
                <w:rFonts w:hint="eastAsia" w:ascii="宋体" w:hAnsi="宋体" w:eastAsia="宋体" w:cs="宋体"/>
                <w:sz w:val="21"/>
                <w:szCs w:val="21"/>
                <w:lang w:eastAsia="zh-CN" w:bidi="ar"/>
              </w:rPr>
              <w:t>昆虫标本制作工具</w:t>
            </w:r>
          </w:p>
        </w:tc>
        <w:tc>
          <w:tcPr>
            <w:tcW w:w="899" w:type="dxa"/>
            <w:gridSpan w:val="2"/>
            <w:vAlign w:val="center"/>
          </w:tcPr>
          <w:p w14:paraId="0C57B949">
            <w:pPr>
              <w:jc w:val="left"/>
              <w:textAlignment w:val="center"/>
              <w:rPr>
                <w:rFonts w:ascii="宋体" w:hAnsi="宋体" w:eastAsia="宋体" w:cs="宋体"/>
                <w:spacing w:val="4"/>
                <w:sz w:val="21"/>
                <w:szCs w:val="21"/>
              </w:rPr>
            </w:pPr>
            <w:r>
              <w:rPr>
                <w:rFonts w:hint="eastAsia" w:ascii="宋体" w:hAnsi="宋体" w:eastAsia="宋体" w:cs="宋体"/>
                <w:sz w:val="21"/>
                <w:szCs w:val="21"/>
                <w:lang w:eastAsia="zh-CN" w:bidi="ar"/>
              </w:rPr>
              <w:t>宝元兴业/BY-Z12</w:t>
            </w:r>
          </w:p>
        </w:tc>
        <w:tc>
          <w:tcPr>
            <w:tcW w:w="4631" w:type="dxa"/>
            <w:gridSpan w:val="3"/>
            <w:vAlign w:val="center"/>
          </w:tcPr>
          <w:p w14:paraId="053FA0BB">
            <w:pPr>
              <w:spacing w:line="400" w:lineRule="exact"/>
              <w:jc w:val="left"/>
              <w:textAlignment w:val="center"/>
              <w:rPr>
                <w:rFonts w:ascii="宋体" w:hAnsi="宋体" w:eastAsia="宋体" w:cs="宋体"/>
                <w:spacing w:val="-2"/>
                <w:sz w:val="21"/>
                <w:szCs w:val="21"/>
                <w:lang w:eastAsia="zh-CN"/>
              </w:rPr>
            </w:pPr>
            <w:r>
              <w:rPr>
                <w:rFonts w:hint="eastAsia" w:ascii="宋体" w:hAnsi="宋体" w:eastAsia="宋体" w:cs="宋体"/>
                <w:sz w:val="21"/>
                <w:szCs w:val="21"/>
                <w:lang w:eastAsia="zh-CN" w:bidi="ar"/>
              </w:rPr>
              <w:t>配置：昆虫针钳，三级台，解剖剪直，油性记号笔，解剖针，充电式手电筒，标本自封袋，检疫手套，指型管，试管架，3米钢卷尺，昆虫针，手持放大镜，解剖剪弯，记录本，镊子直，标签纸，微型标本夹，检疫口罩，载玻片，多用小刀，展翅板，注射器，签字笔，解剖刀，镊子弯，袖珍显微镜，标本瓶，白大褂，盖玻片，微型显微镜。</w:t>
            </w:r>
          </w:p>
        </w:tc>
        <w:tc>
          <w:tcPr>
            <w:tcW w:w="559" w:type="dxa"/>
            <w:vAlign w:val="center"/>
          </w:tcPr>
          <w:p w14:paraId="5E59D504">
            <w:pPr>
              <w:jc w:val="left"/>
              <w:textAlignment w:val="center"/>
              <w:rPr>
                <w:rFonts w:ascii="宋体" w:hAnsi="宋体" w:eastAsia="宋体" w:cs="宋体"/>
                <w:spacing w:val="-3"/>
                <w:sz w:val="21"/>
                <w:szCs w:val="21"/>
              </w:rPr>
            </w:pPr>
            <w:r>
              <w:rPr>
                <w:rFonts w:hint="eastAsia" w:ascii="宋体" w:hAnsi="宋体" w:eastAsia="宋体" w:cs="宋体"/>
                <w:sz w:val="21"/>
                <w:szCs w:val="21"/>
                <w:lang w:eastAsia="zh-CN" w:bidi="ar"/>
              </w:rPr>
              <w:t>套</w:t>
            </w:r>
          </w:p>
        </w:tc>
        <w:tc>
          <w:tcPr>
            <w:tcW w:w="419" w:type="dxa"/>
            <w:vAlign w:val="center"/>
          </w:tcPr>
          <w:p w14:paraId="3B98B12E">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50</w:t>
            </w:r>
          </w:p>
        </w:tc>
        <w:tc>
          <w:tcPr>
            <w:tcW w:w="639" w:type="dxa"/>
            <w:tcBorders>
              <w:top w:val="nil"/>
              <w:left w:val="nil"/>
              <w:bottom w:val="single" w:color="auto" w:sz="4" w:space="0"/>
              <w:right w:val="single" w:color="000000" w:sz="8" w:space="0"/>
            </w:tcBorders>
            <w:shd w:val="clear" w:color="auto" w:fill="auto"/>
            <w:vAlign w:val="center"/>
          </w:tcPr>
          <w:p w14:paraId="65F8E21A">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700</w:t>
            </w:r>
          </w:p>
        </w:tc>
        <w:tc>
          <w:tcPr>
            <w:tcW w:w="889" w:type="dxa"/>
            <w:tcBorders>
              <w:top w:val="nil"/>
              <w:left w:val="nil"/>
              <w:bottom w:val="single" w:color="auto" w:sz="4" w:space="0"/>
              <w:right w:val="single" w:color="000000" w:sz="8" w:space="0"/>
            </w:tcBorders>
            <w:shd w:val="clear" w:color="auto" w:fill="auto"/>
            <w:vAlign w:val="center"/>
          </w:tcPr>
          <w:p w14:paraId="575CA538">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35000</w:t>
            </w:r>
          </w:p>
        </w:tc>
        <w:tc>
          <w:tcPr>
            <w:tcW w:w="1211" w:type="dxa"/>
            <w:vAlign w:val="center"/>
          </w:tcPr>
          <w:p w14:paraId="4DEB8E7D">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北区5栋503室</w:t>
            </w:r>
          </w:p>
        </w:tc>
      </w:tr>
      <w:tr w14:paraId="571065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31E37C54">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3</w:t>
            </w:r>
          </w:p>
        </w:tc>
        <w:tc>
          <w:tcPr>
            <w:tcW w:w="744" w:type="dxa"/>
            <w:vAlign w:val="center"/>
          </w:tcPr>
          <w:p w14:paraId="501E4072">
            <w:pPr>
              <w:jc w:val="left"/>
              <w:textAlignment w:val="center"/>
              <w:rPr>
                <w:rFonts w:ascii="宋体" w:hAnsi="宋体" w:eastAsia="宋体" w:cs="宋体"/>
                <w:spacing w:val="-2"/>
                <w:sz w:val="21"/>
                <w:szCs w:val="21"/>
              </w:rPr>
            </w:pPr>
            <w:r>
              <w:rPr>
                <w:rFonts w:hint="eastAsia" w:ascii="宋体" w:hAnsi="宋体" w:eastAsia="宋体" w:cs="宋体"/>
                <w:sz w:val="21"/>
                <w:szCs w:val="21"/>
                <w:lang w:eastAsia="zh-CN" w:bidi="ar"/>
              </w:rPr>
              <w:t>回软缸</w:t>
            </w:r>
          </w:p>
        </w:tc>
        <w:tc>
          <w:tcPr>
            <w:tcW w:w="899" w:type="dxa"/>
            <w:gridSpan w:val="2"/>
            <w:vAlign w:val="center"/>
          </w:tcPr>
          <w:p w14:paraId="75FF7D50">
            <w:pPr>
              <w:jc w:val="left"/>
              <w:textAlignment w:val="center"/>
              <w:rPr>
                <w:rFonts w:ascii="宋体" w:hAnsi="宋体" w:eastAsia="宋体" w:cs="宋体"/>
                <w:spacing w:val="4"/>
                <w:sz w:val="21"/>
                <w:szCs w:val="21"/>
              </w:rPr>
            </w:pPr>
            <w:r>
              <w:rPr>
                <w:rFonts w:hint="eastAsia" w:ascii="宋体" w:hAnsi="宋体" w:eastAsia="宋体" w:cs="宋体"/>
                <w:sz w:val="21"/>
                <w:szCs w:val="21"/>
                <w:lang w:eastAsia="zh-CN" w:bidi="ar"/>
              </w:rPr>
              <w:t>宝元兴业/150型</w:t>
            </w:r>
          </w:p>
        </w:tc>
        <w:tc>
          <w:tcPr>
            <w:tcW w:w="4631" w:type="dxa"/>
            <w:gridSpan w:val="3"/>
            <w:vAlign w:val="center"/>
          </w:tcPr>
          <w:p w14:paraId="46DF32B5">
            <w:pPr>
              <w:spacing w:line="400" w:lineRule="exact"/>
              <w:jc w:val="left"/>
              <w:textAlignment w:val="center"/>
              <w:rPr>
                <w:rFonts w:ascii="宋体" w:hAnsi="宋体" w:eastAsia="宋体" w:cs="宋体"/>
                <w:spacing w:val="-2"/>
                <w:sz w:val="21"/>
                <w:szCs w:val="21"/>
                <w:lang w:eastAsia="zh-CN"/>
              </w:rPr>
            </w:pPr>
            <w:r>
              <w:rPr>
                <w:rFonts w:hint="eastAsia" w:ascii="宋体" w:hAnsi="宋体" w:eastAsia="宋体" w:cs="宋体"/>
                <w:sz w:val="21"/>
                <w:szCs w:val="21"/>
                <w:lang w:eastAsia="zh-CN" w:bidi="ar"/>
              </w:rPr>
              <w:t>参数：直径150mm，高硼硅玻璃，带还软隔板</w:t>
            </w:r>
          </w:p>
        </w:tc>
        <w:tc>
          <w:tcPr>
            <w:tcW w:w="559" w:type="dxa"/>
            <w:vAlign w:val="center"/>
          </w:tcPr>
          <w:p w14:paraId="38BB66DE">
            <w:pPr>
              <w:jc w:val="left"/>
              <w:textAlignment w:val="center"/>
              <w:rPr>
                <w:rFonts w:ascii="宋体" w:hAnsi="宋体" w:eastAsia="宋体" w:cs="宋体"/>
                <w:spacing w:val="-3"/>
                <w:sz w:val="21"/>
                <w:szCs w:val="21"/>
              </w:rPr>
            </w:pPr>
            <w:r>
              <w:rPr>
                <w:rFonts w:hint="eastAsia" w:ascii="宋体" w:hAnsi="宋体" w:eastAsia="宋体" w:cs="宋体"/>
                <w:sz w:val="21"/>
                <w:szCs w:val="21"/>
                <w:lang w:eastAsia="zh-CN" w:bidi="ar"/>
              </w:rPr>
              <w:t>个</w:t>
            </w:r>
          </w:p>
        </w:tc>
        <w:tc>
          <w:tcPr>
            <w:tcW w:w="419" w:type="dxa"/>
            <w:tcBorders>
              <w:right w:val="single" w:color="auto" w:sz="4" w:space="0"/>
            </w:tcBorders>
            <w:vAlign w:val="center"/>
          </w:tcPr>
          <w:p w14:paraId="678E2B3A">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4</w:t>
            </w:r>
          </w:p>
        </w:tc>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14:paraId="75C32162">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100</w:t>
            </w:r>
          </w:p>
        </w:tc>
        <w:tc>
          <w:tcPr>
            <w:tcW w:w="889" w:type="dxa"/>
            <w:tcBorders>
              <w:top w:val="single" w:color="auto" w:sz="4" w:space="0"/>
              <w:left w:val="single" w:color="auto" w:sz="4" w:space="0"/>
              <w:bottom w:val="single" w:color="auto" w:sz="4" w:space="0"/>
              <w:right w:val="single" w:color="auto" w:sz="4" w:space="0"/>
            </w:tcBorders>
            <w:shd w:val="clear" w:color="auto" w:fill="auto"/>
            <w:vAlign w:val="center"/>
          </w:tcPr>
          <w:p w14:paraId="1C480CD1">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400</w:t>
            </w:r>
          </w:p>
        </w:tc>
        <w:tc>
          <w:tcPr>
            <w:tcW w:w="1211" w:type="dxa"/>
            <w:tcBorders>
              <w:left w:val="single" w:color="auto" w:sz="4" w:space="0"/>
            </w:tcBorders>
            <w:vAlign w:val="center"/>
          </w:tcPr>
          <w:p w14:paraId="2B81F77A">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北区5栋503室</w:t>
            </w:r>
          </w:p>
        </w:tc>
      </w:tr>
      <w:tr w14:paraId="7E3B2A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4FA2146F">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4</w:t>
            </w:r>
          </w:p>
        </w:tc>
        <w:tc>
          <w:tcPr>
            <w:tcW w:w="744" w:type="dxa"/>
            <w:vAlign w:val="center"/>
          </w:tcPr>
          <w:p w14:paraId="73192E5D">
            <w:pPr>
              <w:jc w:val="left"/>
              <w:textAlignment w:val="center"/>
              <w:rPr>
                <w:rFonts w:ascii="宋体" w:hAnsi="宋体" w:eastAsia="宋体" w:cs="宋体"/>
                <w:spacing w:val="-2"/>
                <w:sz w:val="21"/>
                <w:szCs w:val="21"/>
              </w:rPr>
            </w:pPr>
            <w:r>
              <w:rPr>
                <w:rFonts w:hint="eastAsia" w:ascii="宋体" w:hAnsi="宋体" w:eastAsia="宋体" w:cs="宋体"/>
                <w:sz w:val="21"/>
                <w:szCs w:val="21"/>
                <w:lang w:eastAsia="zh-CN" w:bidi="ar"/>
              </w:rPr>
              <w:t>养虫笼</w:t>
            </w:r>
          </w:p>
        </w:tc>
        <w:tc>
          <w:tcPr>
            <w:tcW w:w="899" w:type="dxa"/>
            <w:gridSpan w:val="2"/>
            <w:vAlign w:val="center"/>
          </w:tcPr>
          <w:p w14:paraId="2E093A58">
            <w:pPr>
              <w:jc w:val="left"/>
              <w:textAlignment w:val="center"/>
              <w:rPr>
                <w:rFonts w:ascii="宋体" w:hAnsi="宋体" w:eastAsia="宋体" w:cs="宋体"/>
                <w:spacing w:val="4"/>
                <w:sz w:val="21"/>
                <w:szCs w:val="21"/>
              </w:rPr>
            </w:pPr>
            <w:r>
              <w:rPr>
                <w:rFonts w:hint="eastAsia" w:ascii="宋体" w:hAnsi="宋体" w:eastAsia="宋体" w:cs="宋体"/>
                <w:sz w:val="21"/>
                <w:szCs w:val="21"/>
                <w:lang w:eastAsia="zh-CN" w:bidi="ar"/>
              </w:rPr>
              <w:t>宝元兴业/定制</w:t>
            </w:r>
          </w:p>
        </w:tc>
        <w:tc>
          <w:tcPr>
            <w:tcW w:w="4631" w:type="dxa"/>
            <w:gridSpan w:val="3"/>
            <w:vAlign w:val="center"/>
          </w:tcPr>
          <w:p w14:paraId="5E2814F4">
            <w:pPr>
              <w:spacing w:line="400" w:lineRule="exact"/>
              <w:jc w:val="left"/>
              <w:textAlignment w:val="center"/>
              <w:rPr>
                <w:rFonts w:ascii="宋体" w:hAnsi="宋体" w:eastAsia="宋体" w:cs="宋体"/>
                <w:spacing w:val="-2"/>
                <w:sz w:val="21"/>
                <w:szCs w:val="21"/>
                <w:lang w:eastAsia="zh-CN"/>
              </w:rPr>
            </w:pPr>
            <w:r>
              <w:rPr>
                <w:rFonts w:hint="eastAsia" w:ascii="宋体" w:hAnsi="宋体" w:eastAsia="宋体" w:cs="宋体"/>
                <w:sz w:val="21"/>
                <w:szCs w:val="21"/>
                <w:lang w:eastAsia="zh-CN" w:bidi="ar"/>
              </w:rPr>
              <w:t>规格：30*30*30cm，120目纱网，不锈钢支架，配拉链门及袖筒</w:t>
            </w:r>
          </w:p>
        </w:tc>
        <w:tc>
          <w:tcPr>
            <w:tcW w:w="559" w:type="dxa"/>
            <w:vAlign w:val="center"/>
          </w:tcPr>
          <w:p w14:paraId="0D7BD595">
            <w:pPr>
              <w:jc w:val="left"/>
              <w:textAlignment w:val="center"/>
              <w:rPr>
                <w:rFonts w:ascii="宋体" w:hAnsi="宋体" w:eastAsia="宋体" w:cs="宋体"/>
                <w:spacing w:val="-3"/>
                <w:sz w:val="21"/>
                <w:szCs w:val="21"/>
              </w:rPr>
            </w:pPr>
            <w:r>
              <w:rPr>
                <w:rFonts w:hint="eastAsia" w:ascii="宋体" w:hAnsi="宋体" w:eastAsia="宋体" w:cs="宋体"/>
                <w:sz w:val="21"/>
                <w:szCs w:val="21"/>
                <w:lang w:eastAsia="zh-CN" w:bidi="ar"/>
              </w:rPr>
              <w:t>个</w:t>
            </w:r>
          </w:p>
        </w:tc>
        <w:tc>
          <w:tcPr>
            <w:tcW w:w="419" w:type="dxa"/>
            <w:vAlign w:val="center"/>
          </w:tcPr>
          <w:p w14:paraId="601167FE">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10</w:t>
            </w:r>
          </w:p>
        </w:tc>
        <w:tc>
          <w:tcPr>
            <w:tcW w:w="639" w:type="dxa"/>
            <w:tcBorders>
              <w:top w:val="single" w:color="auto" w:sz="4" w:space="0"/>
              <w:left w:val="nil"/>
              <w:bottom w:val="single" w:color="000000" w:sz="8" w:space="0"/>
              <w:right w:val="single" w:color="000000" w:sz="8" w:space="0"/>
            </w:tcBorders>
            <w:shd w:val="clear" w:color="auto" w:fill="auto"/>
            <w:vAlign w:val="center"/>
          </w:tcPr>
          <w:p w14:paraId="22E13031">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200</w:t>
            </w:r>
          </w:p>
        </w:tc>
        <w:tc>
          <w:tcPr>
            <w:tcW w:w="889" w:type="dxa"/>
            <w:tcBorders>
              <w:top w:val="single" w:color="auto" w:sz="4" w:space="0"/>
              <w:left w:val="nil"/>
              <w:bottom w:val="single" w:color="000000" w:sz="8" w:space="0"/>
              <w:right w:val="single" w:color="000000" w:sz="8" w:space="0"/>
            </w:tcBorders>
            <w:shd w:val="clear" w:color="auto" w:fill="auto"/>
            <w:vAlign w:val="center"/>
          </w:tcPr>
          <w:p w14:paraId="782D4705">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2000</w:t>
            </w:r>
          </w:p>
        </w:tc>
        <w:tc>
          <w:tcPr>
            <w:tcW w:w="1211" w:type="dxa"/>
            <w:vAlign w:val="center"/>
          </w:tcPr>
          <w:p w14:paraId="4E7175DC">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北区5栋503室</w:t>
            </w:r>
          </w:p>
        </w:tc>
      </w:tr>
      <w:tr w14:paraId="0878B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20AD2699">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5</w:t>
            </w:r>
          </w:p>
        </w:tc>
        <w:tc>
          <w:tcPr>
            <w:tcW w:w="744" w:type="dxa"/>
            <w:vAlign w:val="center"/>
          </w:tcPr>
          <w:p w14:paraId="424DB45E">
            <w:pPr>
              <w:jc w:val="left"/>
              <w:textAlignment w:val="center"/>
              <w:rPr>
                <w:rFonts w:ascii="宋体" w:hAnsi="宋体" w:eastAsia="宋体" w:cs="宋体"/>
                <w:spacing w:val="-2"/>
                <w:sz w:val="21"/>
                <w:szCs w:val="21"/>
              </w:rPr>
            </w:pPr>
            <w:r>
              <w:rPr>
                <w:rFonts w:hint="eastAsia" w:ascii="宋体" w:hAnsi="宋体" w:eastAsia="宋体" w:cs="宋体"/>
                <w:sz w:val="21"/>
                <w:szCs w:val="21"/>
                <w:lang w:eastAsia="zh-CN" w:bidi="ar"/>
              </w:rPr>
              <w:t>标本盒</w:t>
            </w:r>
          </w:p>
        </w:tc>
        <w:tc>
          <w:tcPr>
            <w:tcW w:w="899" w:type="dxa"/>
            <w:gridSpan w:val="2"/>
            <w:vAlign w:val="center"/>
          </w:tcPr>
          <w:p w14:paraId="5C251075">
            <w:pPr>
              <w:jc w:val="left"/>
              <w:textAlignment w:val="center"/>
              <w:rPr>
                <w:rFonts w:ascii="宋体" w:hAnsi="宋体" w:eastAsia="宋体" w:cs="宋体"/>
                <w:spacing w:val="4"/>
                <w:sz w:val="21"/>
                <w:szCs w:val="21"/>
              </w:rPr>
            </w:pPr>
            <w:r>
              <w:rPr>
                <w:rFonts w:hint="eastAsia" w:ascii="宋体" w:hAnsi="宋体" w:eastAsia="宋体" w:cs="宋体"/>
                <w:sz w:val="21"/>
                <w:szCs w:val="21"/>
                <w:lang w:eastAsia="zh-CN" w:bidi="ar"/>
              </w:rPr>
              <w:t>宝元兴业/定制</w:t>
            </w:r>
          </w:p>
        </w:tc>
        <w:tc>
          <w:tcPr>
            <w:tcW w:w="4631" w:type="dxa"/>
            <w:gridSpan w:val="3"/>
            <w:vAlign w:val="center"/>
          </w:tcPr>
          <w:p w14:paraId="2F7118D9">
            <w:pPr>
              <w:spacing w:line="400" w:lineRule="exact"/>
              <w:jc w:val="left"/>
              <w:textAlignment w:val="center"/>
              <w:rPr>
                <w:rFonts w:ascii="宋体" w:hAnsi="宋体" w:eastAsia="宋体" w:cs="宋体"/>
                <w:spacing w:val="-2"/>
                <w:sz w:val="21"/>
                <w:szCs w:val="21"/>
                <w:lang w:eastAsia="zh-CN"/>
              </w:rPr>
            </w:pPr>
            <w:r>
              <w:rPr>
                <w:rFonts w:hint="eastAsia" w:ascii="宋体" w:hAnsi="宋体" w:eastAsia="宋体" w:cs="宋体"/>
                <w:sz w:val="21"/>
                <w:szCs w:val="21"/>
                <w:lang w:eastAsia="zh-CN" w:bidi="ar"/>
              </w:rPr>
              <w:t>规格：18*14*4.5cm   高清亚克力材质，内置针插板</w:t>
            </w:r>
          </w:p>
        </w:tc>
        <w:tc>
          <w:tcPr>
            <w:tcW w:w="559" w:type="dxa"/>
            <w:vAlign w:val="center"/>
          </w:tcPr>
          <w:p w14:paraId="74A6BDEB">
            <w:pPr>
              <w:jc w:val="left"/>
              <w:textAlignment w:val="center"/>
              <w:rPr>
                <w:rFonts w:ascii="宋体" w:hAnsi="宋体" w:eastAsia="宋体" w:cs="宋体"/>
                <w:spacing w:val="-3"/>
                <w:sz w:val="21"/>
                <w:szCs w:val="21"/>
              </w:rPr>
            </w:pPr>
            <w:r>
              <w:rPr>
                <w:rFonts w:hint="eastAsia" w:ascii="宋体" w:hAnsi="宋体" w:eastAsia="宋体" w:cs="宋体"/>
                <w:sz w:val="21"/>
                <w:szCs w:val="21"/>
                <w:lang w:eastAsia="zh-CN" w:bidi="ar"/>
              </w:rPr>
              <w:t>个</w:t>
            </w:r>
          </w:p>
        </w:tc>
        <w:tc>
          <w:tcPr>
            <w:tcW w:w="419" w:type="dxa"/>
            <w:vAlign w:val="center"/>
          </w:tcPr>
          <w:p w14:paraId="2899D20C">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100</w:t>
            </w:r>
          </w:p>
        </w:tc>
        <w:tc>
          <w:tcPr>
            <w:tcW w:w="639" w:type="dxa"/>
            <w:tcBorders>
              <w:top w:val="nil"/>
              <w:left w:val="nil"/>
              <w:bottom w:val="single" w:color="000000" w:sz="8" w:space="0"/>
              <w:right w:val="single" w:color="000000" w:sz="8" w:space="0"/>
            </w:tcBorders>
            <w:shd w:val="clear" w:color="auto" w:fill="auto"/>
            <w:vAlign w:val="center"/>
          </w:tcPr>
          <w:p w14:paraId="3748D04B">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20</w:t>
            </w:r>
          </w:p>
        </w:tc>
        <w:tc>
          <w:tcPr>
            <w:tcW w:w="889" w:type="dxa"/>
            <w:tcBorders>
              <w:top w:val="nil"/>
              <w:left w:val="nil"/>
              <w:bottom w:val="single" w:color="000000" w:sz="8" w:space="0"/>
              <w:right w:val="single" w:color="000000" w:sz="8" w:space="0"/>
            </w:tcBorders>
            <w:shd w:val="clear" w:color="auto" w:fill="auto"/>
            <w:vAlign w:val="center"/>
          </w:tcPr>
          <w:p w14:paraId="7D987556">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2000</w:t>
            </w:r>
          </w:p>
        </w:tc>
        <w:tc>
          <w:tcPr>
            <w:tcW w:w="1211" w:type="dxa"/>
            <w:vAlign w:val="center"/>
          </w:tcPr>
          <w:p w14:paraId="2F176630">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北区5栋503室</w:t>
            </w:r>
          </w:p>
        </w:tc>
      </w:tr>
      <w:tr w14:paraId="42D3A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7" w:hRule="atLeast"/>
        </w:trPr>
        <w:tc>
          <w:tcPr>
            <w:tcW w:w="364" w:type="dxa"/>
            <w:vAlign w:val="center"/>
          </w:tcPr>
          <w:p w14:paraId="63645346">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6</w:t>
            </w:r>
          </w:p>
        </w:tc>
        <w:tc>
          <w:tcPr>
            <w:tcW w:w="744" w:type="dxa"/>
            <w:vAlign w:val="center"/>
          </w:tcPr>
          <w:p w14:paraId="217041F0">
            <w:pPr>
              <w:jc w:val="left"/>
              <w:textAlignment w:val="center"/>
              <w:rPr>
                <w:rFonts w:ascii="宋体" w:hAnsi="宋体" w:eastAsia="宋体" w:cs="宋体"/>
                <w:spacing w:val="-2"/>
                <w:sz w:val="21"/>
                <w:szCs w:val="21"/>
              </w:rPr>
            </w:pPr>
            <w:r>
              <w:rPr>
                <w:rFonts w:hint="eastAsia" w:ascii="宋体" w:hAnsi="宋体" w:eastAsia="宋体" w:cs="宋体"/>
                <w:sz w:val="21"/>
                <w:szCs w:val="21"/>
                <w:lang w:eastAsia="zh-CN" w:bidi="ar"/>
              </w:rPr>
              <w:t>标本</w:t>
            </w:r>
            <w:r>
              <w:rPr>
                <w:rFonts w:hint="eastAsia" w:ascii="宋体" w:hAnsi="宋体" w:eastAsia="宋体" w:cs="宋体"/>
                <w:sz w:val="21"/>
                <w:szCs w:val="21"/>
                <w:lang w:val="en-US" w:eastAsia="zh-CN" w:bidi="ar"/>
              </w:rPr>
              <w:t>架</w:t>
            </w:r>
            <w:bookmarkStart w:id="0" w:name="_GoBack"/>
            <w:bookmarkEnd w:id="0"/>
          </w:p>
        </w:tc>
        <w:tc>
          <w:tcPr>
            <w:tcW w:w="899" w:type="dxa"/>
            <w:gridSpan w:val="2"/>
            <w:vAlign w:val="center"/>
          </w:tcPr>
          <w:p w14:paraId="1459A705">
            <w:pPr>
              <w:jc w:val="left"/>
              <w:textAlignment w:val="center"/>
              <w:rPr>
                <w:rFonts w:ascii="宋体" w:hAnsi="宋体" w:eastAsia="宋体" w:cs="宋体"/>
                <w:spacing w:val="4"/>
                <w:sz w:val="21"/>
                <w:szCs w:val="21"/>
              </w:rPr>
            </w:pPr>
            <w:r>
              <w:rPr>
                <w:rFonts w:hint="eastAsia" w:ascii="宋体" w:hAnsi="宋体" w:eastAsia="宋体" w:cs="宋体"/>
                <w:sz w:val="21"/>
                <w:szCs w:val="21"/>
                <w:lang w:eastAsia="zh-CN" w:bidi="ar"/>
              </w:rPr>
              <w:t>毕净鑫思/定制</w:t>
            </w:r>
          </w:p>
        </w:tc>
        <w:tc>
          <w:tcPr>
            <w:tcW w:w="4631" w:type="dxa"/>
            <w:gridSpan w:val="3"/>
            <w:vAlign w:val="center"/>
          </w:tcPr>
          <w:p w14:paraId="45592ABA">
            <w:pPr>
              <w:spacing w:line="400" w:lineRule="exact"/>
              <w:jc w:val="left"/>
              <w:textAlignment w:val="center"/>
              <w:rPr>
                <w:rFonts w:ascii="宋体" w:hAnsi="宋体" w:eastAsia="宋体" w:cs="宋体"/>
                <w:spacing w:val="-2"/>
                <w:sz w:val="21"/>
                <w:szCs w:val="21"/>
                <w:lang w:eastAsia="zh-CN"/>
              </w:rPr>
            </w:pPr>
            <w:r>
              <w:rPr>
                <w:rFonts w:hint="eastAsia" w:ascii="宋体" w:hAnsi="宋体" w:eastAsia="宋体" w:cs="宋体"/>
                <w:sz w:val="21"/>
                <w:szCs w:val="21"/>
                <w:lang w:eastAsia="zh-CN" w:bidi="ar"/>
              </w:rPr>
              <w:t>1、规格：1000*400*2000mm,玻璃厚度8mm,无层板</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标本托盘:冷轧钢板长425*宽375*高8mm结构，绝缘防腐涂层层板材质，一次冲压成型压力测试承重≥400kg/块（相当于4KN以上）、绝缘材料涂层（根据静电敏感环境区分标准，电阻率高于10的12次方以上为绝缘体）、高温650度以上烧制而成具有耐钢制尖锐物品刮不脱涂层特点，尖锐物品剐蹭后倒入98%浓硫酸或盐酸无任何腐蚀反应（650度以上5分钟测试表面无可见变化为合格），经高温烧制后可承受分析纯浓硫酸测试浸泡24小时（24小时浸泡测试表面涂层无变化为合格）、（24小时浸泡测试表面涂层无变化为合格）{检测方法：测试条件:硫酸(AR)，完全浸泡，23℃℃，24h}，</w:t>
            </w:r>
            <w:r>
              <w:rPr>
                <w:rFonts w:hint="eastAsia" w:ascii="宋体" w:hAnsi="宋体" w:eastAsia="宋体" w:cs="宋体"/>
                <w:sz w:val="21"/>
                <w:szCs w:val="21"/>
                <w:lang w:val="en-US" w:eastAsia="zh-CN" w:bidi="ar"/>
              </w:rPr>
              <w:t>供货时</w:t>
            </w:r>
            <w:r>
              <w:rPr>
                <w:rFonts w:hint="eastAsia" w:ascii="宋体" w:hAnsi="宋体" w:eastAsia="宋体" w:cs="宋体"/>
                <w:sz w:val="21"/>
                <w:szCs w:val="21"/>
                <w:lang w:eastAsia="zh-CN" w:bidi="ar"/>
              </w:rPr>
              <w:t>须提供具备资质的检测机构出具的检测报告扫描件佐证该项技术指标:否则视为无效响应；</w:t>
            </w:r>
          </w:p>
        </w:tc>
        <w:tc>
          <w:tcPr>
            <w:tcW w:w="559" w:type="dxa"/>
            <w:vAlign w:val="center"/>
          </w:tcPr>
          <w:p w14:paraId="0234E140">
            <w:pPr>
              <w:jc w:val="left"/>
              <w:textAlignment w:val="center"/>
              <w:rPr>
                <w:rFonts w:ascii="宋体" w:hAnsi="宋体" w:eastAsia="宋体" w:cs="宋体"/>
                <w:spacing w:val="-3"/>
                <w:sz w:val="21"/>
                <w:szCs w:val="21"/>
              </w:rPr>
            </w:pPr>
            <w:r>
              <w:rPr>
                <w:rFonts w:hint="eastAsia" w:ascii="宋体" w:hAnsi="宋体" w:eastAsia="宋体" w:cs="宋体"/>
                <w:sz w:val="21"/>
                <w:szCs w:val="21"/>
                <w:lang w:eastAsia="zh-CN" w:bidi="ar"/>
              </w:rPr>
              <w:t>个</w:t>
            </w:r>
          </w:p>
        </w:tc>
        <w:tc>
          <w:tcPr>
            <w:tcW w:w="419" w:type="dxa"/>
            <w:vAlign w:val="center"/>
          </w:tcPr>
          <w:p w14:paraId="04939DDD">
            <w:pPr>
              <w:jc w:val="left"/>
              <w:textAlignment w:val="center"/>
              <w:rPr>
                <w:rFonts w:ascii="宋体" w:hAnsi="宋体" w:eastAsia="宋体" w:cs="宋体"/>
                <w:sz w:val="21"/>
                <w:szCs w:val="21"/>
              </w:rPr>
            </w:pPr>
            <w:r>
              <w:rPr>
                <w:rFonts w:hint="eastAsia" w:ascii="宋体" w:hAnsi="宋体" w:eastAsia="宋体" w:cs="宋体"/>
                <w:sz w:val="21"/>
                <w:szCs w:val="21"/>
                <w:lang w:eastAsia="zh-CN" w:bidi="ar"/>
              </w:rPr>
              <w:t>5</w:t>
            </w:r>
          </w:p>
        </w:tc>
        <w:tc>
          <w:tcPr>
            <w:tcW w:w="639" w:type="dxa"/>
            <w:tcBorders>
              <w:top w:val="nil"/>
              <w:left w:val="nil"/>
              <w:bottom w:val="single" w:color="000000" w:sz="8" w:space="0"/>
              <w:right w:val="single" w:color="000000" w:sz="8" w:space="0"/>
            </w:tcBorders>
            <w:shd w:val="clear" w:color="auto" w:fill="auto"/>
            <w:vAlign w:val="center"/>
          </w:tcPr>
          <w:p w14:paraId="013C97E6">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3000</w:t>
            </w:r>
          </w:p>
        </w:tc>
        <w:tc>
          <w:tcPr>
            <w:tcW w:w="889" w:type="dxa"/>
            <w:tcBorders>
              <w:top w:val="nil"/>
              <w:left w:val="nil"/>
              <w:bottom w:val="single" w:color="000000" w:sz="8" w:space="0"/>
              <w:right w:val="single" w:color="000000" w:sz="8" w:space="0"/>
            </w:tcBorders>
            <w:shd w:val="clear" w:color="auto" w:fill="auto"/>
            <w:vAlign w:val="center"/>
          </w:tcPr>
          <w:p w14:paraId="19FADFA6">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15000</w:t>
            </w:r>
          </w:p>
        </w:tc>
        <w:tc>
          <w:tcPr>
            <w:tcW w:w="1211" w:type="dxa"/>
            <w:vAlign w:val="center"/>
          </w:tcPr>
          <w:p w14:paraId="2290E4EF">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北区5栋503室</w:t>
            </w:r>
          </w:p>
        </w:tc>
      </w:tr>
      <w:tr w14:paraId="3CA69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3AF2F3DF">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7</w:t>
            </w:r>
          </w:p>
        </w:tc>
        <w:tc>
          <w:tcPr>
            <w:tcW w:w="744" w:type="dxa"/>
            <w:vAlign w:val="center"/>
          </w:tcPr>
          <w:p w14:paraId="581D5BFE">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移液枪</w:t>
            </w:r>
          </w:p>
        </w:tc>
        <w:tc>
          <w:tcPr>
            <w:tcW w:w="899" w:type="dxa"/>
            <w:gridSpan w:val="2"/>
            <w:vAlign w:val="center"/>
          </w:tcPr>
          <w:p w14:paraId="523BAF20">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 xml:space="preserve">艾本德Research plus </w:t>
            </w:r>
          </w:p>
        </w:tc>
        <w:tc>
          <w:tcPr>
            <w:tcW w:w="4631" w:type="dxa"/>
            <w:gridSpan w:val="3"/>
            <w:vAlign w:val="center"/>
          </w:tcPr>
          <w:p w14:paraId="2B90BBBF">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1.性能</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1.1采用高科技材质，操作力小，坚固耐用，耐高温抗腐蚀</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1.2可整支高温高压灭菌和紫外线灭菌，操作更安全</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1.3人体工程学设计，显著减少手、手臂和肩膀用力，避免手部重复性劳损（RSI）</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1.4下半支可徒手拆卸，便于清洁保养</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1.5伸缩式弹性吸嘴设计，确保吸头装配的气密性和移液均一性</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1.6四位数字放大体积显示，可精准设置移液体积</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1.7体积视窗位置合理（在前面），便于移液观察，可单手设定体积及操作</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 xml:space="preserve">1.8独有密度调节窗口，适用于不同密度的液体 ，通用性更广泛  </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1.9 0.1μL－10mL 10种不同量程选择，全面满足不同使用需求</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1.10颜色标识移液器量程</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1.11 数据芯片读取功能，可读取数据进行追踪</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2、配置：0.5-10μL、10-100μL、20-200μL、100-1000μL各一支。</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w:t>
            </w:r>
            <w:r>
              <w:rPr>
                <w:rFonts w:hint="eastAsia" w:ascii="宋体" w:hAnsi="宋体" w:eastAsia="宋体" w:cs="宋体"/>
                <w:sz w:val="21"/>
                <w:szCs w:val="21"/>
                <w:lang w:val="en-US" w:eastAsia="zh-CN" w:bidi="ar"/>
              </w:rPr>
              <w:t>供货</w:t>
            </w:r>
            <w:r>
              <w:rPr>
                <w:rFonts w:hint="eastAsia" w:ascii="宋体" w:hAnsi="宋体" w:eastAsia="宋体" w:cs="宋体"/>
                <w:sz w:val="21"/>
                <w:szCs w:val="21"/>
                <w:lang w:eastAsia="zh-CN" w:bidi="ar"/>
              </w:rPr>
              <w:t>时必须提供厂家或对应区域代理商出具针对本项目的售后服务承诺书原件，保障原厂正品以及售后，否则采购人有权拒收。</w:t>
            </w:r>
          </w:p>
        </w:tc>
        <w:tc>
          <w:tcPr>
            <w:tcW w:w="559" w:type="dxa"/>
            <w:vAlign w:val="center"/>
          </w:tcPr>
          <w:p w14:paraId="63B8C0C9">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套</w:t>
            </w:r>
          </w:p>
        </w:tc>
        <w:tc>
          <w:tcPr>
            <w:tcW w:w="419" w:type="dxa"/>
            <w:vAlign w:val="center"/>
          </w:tcPr>
          <w:p w14:paraId="0CEDB1C3">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1</w:t>
            </w:r>
          </w:p>
        </w:tc>
        <w:tc>
          <w:tcPr>
            <w:tcW w:w="639" w:type="dxa"/>
            <w:tcBorders>
              <w:top w:val="nil"/>
              <w:left w:val="nil"/>
              <w:bottom w:val="single" w:color="000000" w:sz="8" w:space="0"/>
              <w:right w:val="single" w:color="000000" w:sz="8" w:space="0"/>
            </w:tcBorders>
            <w:shd w:val="clear" w:color="auto" w:fill="auto"/>
            <w:vAlign w:val="center"/>
          </w:tcPr>
          <w:p w14:paraId="18272054">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7600</w:t>
            </w:r>
          </w:p>
        </w:tc>
        <w:tc>
          <w:tcPr>
            <w:tcW w:w="889" w:type="dxa"/>
            <w:tcBorders>
              <w:top w:val="nil"/>
              <w:left w:val="nil"/>
              <w:bottom w:val="single" w:color="000000" w:sz="8" w:space="0"/>
              <w:right w:val="single" w:color="000000" w:sz="8" w:space="0"/>
            </w:tcBorders>
            <w:shd w:val="clear" w:color="auto" w:fill="auto"/>
            <w:vAlign w:val="center"/>
          </w:tcPr>
          <w:p w14:paraId="24552155">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7600</w:t>
            </w:r>
          </w:p>
        </w:tc>
        <w:tc>
          <w:tcPr>
            <w:tcW w:w="1211" w:type="dxa"/>
            <w:vAlign w:val="center"/>
          </w:tcPr>
          <w:p w14:paraId="65D66B8A">
            <w:pPr>
              <w:jc w:val="left"/>
              <w:textAlignment w:val="center"/>
              <w:rPr>
                <w:rFonts w:hint="default" w:ascii="宋体" w:hAnsi="宋体" w:eastAsia="宋体" w:cs="宋体"/>
                <w:sz w:val="21"/>
                <w:szCs w:val="21"/>
                <w:lang w:val="en-US" w:eastAsia="zh-CN" w:bidi="ar"/>
              </w:rPr>
            </w:pPr>
            <w:r>
              <w:rPr>
                <w:rFonts w:hint="eastAsia" w:ascii="宋体" w:hAnsi="宋体" w:eastAsia="宋体" w:cs="宋体"/>
                <w:sz w:val="21"/>
                <w:szCs w:val="21"/>
                <w:lang w:val="en-US" w:eastAsia="zh-CN" w:bidi="ar"/>
              </w:rPr>
              <w:t>组培楼5楼大师工作室</w:t>
            </w:r>
          </w:p>
        </w:tc>
      </w:tr>
      <w:tr w14:paraId="3D16B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03A2DFFC">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8</w:t>
            </w:r>
          </w:p>
        </w:tc>
        <w:tc>
          <w:tcPr>
            <w:tcW w:w="744" w:type="dxa"/>
            <w:vAlign w:val="center"/>
          </w:tcPr>
          <w:p w14:paraId="799B3A1B">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漩涡震荡仪</w:t>
            </w:r>
          </w:p>
        </w:tc>
        <w:tc>
          <w:tcPr>
            <w:tcW w:w="899" w:type="dxa"/>
            <w:gridSpan w:val="2"/>
            <w:vAlign w:val="center"/>
          </w:tcPr>
          <w:p w14:paraId="25145776">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大龙/MX-S</w:t>
            </w:r>
          </w:p>
        </w:tc>
        <w:tc>
          <w:tcPr>
            <w:tcW w:w="4631" w:type="dxa"/>
            <w:gridSpan w:val="3"/>
            <w:vAlign w:val="center"/>
          </w:tcPr>
          <w:p w14:paraId="294BF640">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一、特点：</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 xml:space="preserve">1.适合短时间（点动）或长时间连续工作                                      </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 xml:space="preserve">2.转速范围：0-3000rpm，无级调速，可实现温和/剧烈混合样品 </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3.偏心球轴承设计，振动头安装方便</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 xml:space="preserve">4.在不同负载情况下，仍可保持恒定转速 </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5.钢制底座和特殊设计的真空吸盘脚可保持仪器稳固可靠</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 xml:space="preserve">并减小震动 </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7.运行周转直径：4mm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8.防护等级：IP21</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二、技术参数：</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1.电压：100-120V/200-240V，50/60Hz</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2.功率：60W</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3.振荡方式：圆周</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4.周转直径：4mm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5.电机类型：罩极电机</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6.电机输入功率：58W</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7.电机输出功率：10W</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8.速度范围：0-3000rpm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9.转速显示：刻度</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10.运行方式：连续运转/点动</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11.外观尺寸[长×宽×高]：127×130×160mm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12.重量：2.0kg</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13.允许环境温度：5－40℃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14.允许环境湿度：80%RH</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15.外壳防护等级：IP21</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*三、</w:t>
            </w:r>
            <w:r>
              <w:rPr>
                <w:rFonts w:hint="eastAsia" w:ascii="宋体" w:hAnsi="宋体" w:eastAsia="宋体" w:cs="宋体"/>
                <w:sz w:val="21"/>
                <w:szCs w:val="21"/>
                <w:lang w:val="en-US" w:eastAsia="zh-CN" w:bidi="ar"/>
              </w:rPr>
              <w:t>供货</w:t>
            </w:r>
            <w:r>
              <w:rPr>
                <w:rFonts w:hint="eastAsia" w:ascii="宋体" w:hAnsi="宋体" w:eastAsia="宋体" w:cs="宋体"/>
                <w:sz w:val="21"/>
                <w:szCs w:val="21"/>
                <w:lang w:eastAsia="zh-CN" w:bidi="ar"/>
              </w:rPr>
              <w:t>时必须提供厂家出具针对本项目的售后服务承诺书原件，保障原厂正品以及售后，否则采购人有权拒收。</w:t>
            </w:r>
          </w:p>
        </w:tc>
        <w:tc>
          <w:tcPr>
            <w:tcW w:w="559" w:type="dxa"/>
            <w:vAlign w:val="center"/>
          </w:tcPr>
          <w:p w14:paraId="15DC0A72">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台</w:t>
            </w:r>
          </w:p>
        </w:tc>
        <w:tc>
          <w:tcPr>
            <w:tcW w:w="419" w:type="dxa"/>
            <w:vAlign w:val="center"/>
          </w:tcPr>
          <w:p w14:paraId="123A3BAC">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1</w:t>
            </w:r>
          </w:p>
        </w:tc>
        <w:tc>
          <w:tcPr>
            <w:tcW w:w="639" w:type="dxa"/>
            <w:tcBorders>
              <w:top w:val="nil"/>
              <w:left w:val="nil"/>
              <w:bottom w:val="single" w:color="000000" w:sz="8" w:space="0"/>
              <w:right w:val="single" w:color="000000" w:sz="8" w:space="0"/>
            </w:tcBorders>
            <w:shd w:val="clear" w:color="auto" w:fill="auto"/>
            <w:vAlign w:val="center"/>
          </w:tcPr>
          <w:p w14:paraId="5AE3C3F7">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1500</w:t>
            </w:r>
          </w:p>
        </w:tc>
        <w:tc>
          <w:tcPr>
            <w:tcW w:w="889" w:type="dxa"/>
            <w:tcBorders>
              <w:top w:val="nil"/>
              <w:left w:val="nil"/>
              <w:bottom w:val="single" w:color="000000" w:sz="8" w:space="0"/>
              <w:right w:val="single" w:color="000000" w:sz="8" w:space="0"/>
            </w:tcBorders>
            <w:shd w:val="clear" w:color="auto" w:fill="auto"/>
            <w:vAlign w:val="center"/>
          </w:tcPr>
          <w:p w14:paraId="3F7EA970">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1500</w:t>
            </w:r>
          </w:p>
        </w:tc>
        <w:tc>
          <w:tcPr>
            <w:tcW w:w="1211" w:type="dxa"/>
            <w:vAlign w:val="center"/>
          </w:tcPr>
          <w:p w14:paraId="6F114AC2">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组培楼5楼大师工作室</w:t>
            </w:r>
          </w:p>
        </w:tc>
      </w:tr>
      <w:tr w14:paraId="3860B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64" w:type="dxa"/>
            <w:vAlign w:val="center"/>
          </w:tcPr>
          <w:p w14:paraId="31DC83FB">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9</w:t>
            </w:r>
          </w:p>
        </w:tc>
        <w:tc>
          <w:tcPr>
            <w:tcW w:w="744" w:type="dxa"/>
            <w:vAlign w:val="center"/>
          </w:tcPr>
          <w:p w14:paraId="32496039">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金属浴</w:t>
            </w:r>
          </w:p>
        </w:tc>
        <w:tc>
          <w:tcPr>
            <w:tcW w:w="899" w:type="dxa"/>
            <w:gridSpan w:val="2"/>
            <w:vAlign w:val="center"/>
          </w:tcPr>
          <w:p w14:paraId="54219750">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大龙/HB120-S LED</w:t>
            </w:r>
          </w:p>
        </w:tc>
        <w:tc>
          <w:tcPr>
            <w:tcW w:w="4631" w:type="dxa"/>
            <w:gridSpan w:val="3"/>
            <w:vAlign w:val="center"/>
          </w:tcPr>
          <w:p w14:paraId="5DB47B62">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一、特点：</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1.温度控制范围可以从室温+5℃-120℃；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2.支持计时和连续控制功能；</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3.双显示屏方便监控温度和时间；</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4.多种承载模块类型可选，更换便捷；</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5.内置过温保护功能，安全稳定；</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6.配置保温功能模块罩，防止热量散失，精准控温。</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二、技术参数：</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1.功能：加热；</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2.显示：LED；</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3.温度范围[℃]：室温+5~120；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4.温度设定范围[℃]：25~120；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5.温度精度[37℃] [℃]：±0.5；</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6.温度均一性[37℃] [℃]：±0.5；</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7.加热功率[W]：160；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8.最高耐受温度[℃]：140；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9.承载模块尺寸[mm]：150×95；</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10.控制方式：连续工作/定时控制；</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11.时间设定范围：0~99h59min；</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12.电源：110/220V, 50/60Hz；</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13.外形尺寸[mm]：175 x 290 x 85mm；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14.整机重量[kg]：3（不含承载模块）；</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15.工作温度[℃]：10~40；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16.工作湿度[% RH]：&lt;80。</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*三、</w:t>
            </w:r>
            <w:r>
              <w:rPr>
                <w:rFonts w:hint="eastAsia" w:ascii="宋体" w:hAnsi="宋体" w:eastAsia="宋体" w:cs="宋体"/>
                <w:sz w:val="21"/>
                <w:szCs w:val="21"/>
                <w:lang w:val="en-US" w:eastAsia="zh-CN" w:bidi="ar"/>
              </w:rPr>
              <w:t>供货</w:t>
            </w:r>
            <w:r>
              <w:rPr>
                <w:rFonts w:hint="eastAsia" w:ascii="宋体" w:hAnsi="宋体" w:eastAsia="宋体" w:cs="宋体"/>
                <w:sz w:val="21"/>
                <w:szCs w:val="21"/>
                <w:lang w:eastAsia="zh-CN" w:bidi="ar"/>
              </w:rPr>
              <w:t>时必须提供厂家出具针对本项目的售后服务承诺书原件，保障原厂正品以及售后，否则采购人有权拒收。</w:t>
            </w:r>
          </w:p>
        </w:tc>
        <w:tc>
          <w:tcPr>
            <w:tcW w:w="559" w:type="dxa"/>
            <w:vAlign w:val="center"/>
          </w:tcPr>
          <w:p w14:paraId="2B5018CF">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台</w:t>
            </w:r>
          </w:p>
        </w:tc>
        <w:tc>
          <w:tcPr>
            <w:tcW w:w="419" w:type="dxa"/>
            <w:vAlign w:val="center"/>
          </w:tcPr>
          <w:p w14:paraId="2DF9FB85">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1</w:t>
            </w:r>
          </w:p>
        </w:tc>
        <w:tc>
          <w:tcPr>
            <w:tcW w:w="639" w:type="dxa"/>
            <w:tcBorders>
              <w:top w:val="nil"/>
              <w:left w:val="nil"/>
              <w:bottom w:val="single" w:color="000000" w:sz="8" w:space="0"/>
              <w:right w:val="single" w:color="000000" w:sz="8" w:space="0"/>
            </w:tcBorders>
            <w:shd w:val="clear" w:color="auto" w:fill="auto"/>
            <w:vAlign w:val="center"/>
          </w:tcPr>
          <w:p w14:paraId="48093476">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2900</w:t>
            </w:r>
          </w:p>
        </w:tc>
        <w:tc>
          <w:tcPr>
            <w:tcW w:w="889" w:type="dxa"/>
            <w:tcBorders>
              <w:top w:val="nil"/>
              <w:left w:val="nil"/>
              <w:bottom w:val="single" w:color="000000" w:sz="8" w:space="0"/>
              <w:right w:val="single" w:color="000000" w:sz="8" w:space="0"/>
            </w:tcBorders>
            <w:shd w:val="clear" w:color="auto" w:fill="auto"/>
            <w:vAlign w:val="center"/>
          </w:tcPr>
          <w:p w14:paraId="07D4D81F">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2900</w:t>
            </w:r>
          </w:p>
        </w:tc>
        <w:tc>
          <w:tcPr>
            <w:tcW w:w="1211" w:type="dxa"/>
            <w:vAlign w:val="center"/>
          </w:tcPr>
          <w:p w14:paraId="0BBB220D">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组培楼5楼大师工作室</w:t>
            </w:r>
          </w:p>
        </w:tc>
      </w:tr>
      <w:tr w14:paraId="74D8B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364" w:type="dxa"/>
            <w:vAlign w:val="center"/>
          </w:tcPr>
          <w:p w14:paraId="0CF64107">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10</w:t>
            </w:r>
          </w:p>
        </w:tc>
        <w:tc>
          <w:tcPr>
            <w:tcW w:w="744" w:type="dxa"/>
            <w:vAlign w:val="center"/>
          </w:tcPr>
          <w:p w14:paraId="0E27CC8C">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掌上离心机</w:t>
            </w:r>
          </w:p>
        </w:tc>
        <w:tc>
          <w:tcPr>
            <w:tcW w:w="899" w:type="dxa"/>
            <w:gridSpan w:val="2"/>
            <w:vAlign w:val="center"/>
          </w:tcPr>
          <w:p w14:paraId="7097B8D1">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大龙/D1008</w:t>
            </w:r>
          </w:p>
        </w:tc>
        <w:tc>
          <w:tcPr>
            <w:tcW w:w="4631" w:type="dxa"/>
            <w:gridSpan w:val="3"/>
            <w:vAlign w:val="center"/>
          </w:tcPr>
          <w:p w14:paraId="304A99BF">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一、特点优势：</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1.双门锁设计，锁定更安全</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2.先进的宽电压技术，转速不受电压波动影响，转速精度高</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3.运行安静，噪音≤45dB,</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4.直流电机，连续运行模式</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5.最高转速7000rpm；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*6.翻盖开关功能，合盖即转，开盖即停，操作方便</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*7.卡扣式转子，安全耐磨损，平衡性高，可容纳过滤型离心管，应用范围广</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8.最大容量2ml x 8 离心管; 2 x 0.2ml PCR8排管，当与适配器联用时，亦可使用0.5ml或0.2ml离心管</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二、技术参数：</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1.最大转速：7000rpm；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2.最大相对离心力：2680×g；</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3.容量：</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3.1转子容量：</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0.2/0.5/1.5/2.0mL×8；</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0.2mL×32 PCR管或</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0.2mL×4 PCR 8排管；</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3.2适配器容量：</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2mL转0.5mL适配器；</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2mL转0.2mL适配器；</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4.运行时间：连续运行；</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5.电机类型：直流电机；</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6.功率：AC100~240V/50Hz/60Hz 20W；</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7.噪声：≤45dB</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8.尺寸（长x宽x高）：160×170×122mm</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9.重量：＜0.5kg</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*三、报价时必须提供厂家出具针对本项目的售后服务承诺书原件，保障原厂正品以及售后，否则采购人有权拒收。</w:t>
            </w:r>
          </w:p>
        </w:tc>
        <w:tc>
          <w:tcPr>
            <w:tcW w:w="559" w:type="dxa"/>
            <w:vAlign w:val="center"/>
          </w:tcPr>
          <w:p w14:paraId="40AC4E92">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台</w:t>
            </w:r>
          </w:p>
        </w:tc>
        <w:tc>
          <w:tcPr>
            <w:tcW w:w="419" w:type="dxa"/>
            <w:vAlign w:val="center"/>
          </w:tcPr>
          <w:p w14:paraId="600CC25E">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1</w:t>
            </w:r>
          </w:p>
        </w:tc>
        <w:tc>
          <w:tcPr>
            <w:tcW w:w="639" w:type="dxa"/>
            <w:tcBorders>
              <w:top w:val="nil"/>
              <w:left w:val="nil"/>
              <w:bottom w:val="single" w:color="000000" w:sz="8" w:space="0"/>
              <w:right w:val="single" w:color="000000" w:sz="8" w:space="0"/>
            </w:tcBorders>
            <w:shd w:val="clear" w:color="auto" w:fill="auto"/>
            <w:vAlign w:val="center"/>
          </w:tcPr>
          <w:p w14:paraId="54147857">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1400</w:t>
            </w:r>
          </w:p>
        </w:tc>
        <w:tc>
          <w:tcPr>
            <w:tcW w:w="889" w:type="dxa"/>
            <w:tcBorders>
              <w:top w:val="nil"/>
              <w:left w:val="nil"/>
              <w:bottom w:val="single" w:color="000000" w:sz="8" w:space="0"/>
              <w:right w:val="single" w:color="000000" w:sz="8" w:space="0"/>
            </w:tcBorders>
            <w:shd w:val="clear" w:color="auto" w:fill="auto"/>
            <w:vAlign w:val="center"/>
          </w:tcPr>
          <w:p w14:paraId="4CD141CA">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1400</w:t>
            </w:r>
          </w:p>
        </w:tc>
        <w:tc>
          <w:tcPr>
            <w:tcW w:w="1211" w:type="dxa"/>
            <w:vAlign w:val="center"/>
          </w:tcPr>
          <w:p w14:paraId="50C358FE">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组培楼5楼大师工作室</w:t>
            </w:r>
          </w:p>
        </w:tc>
      </w:tr>
      <w:tr w14:paraId="588A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364" w:type="dxa"/>
            <w:vAlign w:val="center"/>
          </w:tcPr>
          <w:p w14:paraId="1ECB1555">
            <w:pPr>
              <w:jc w:val="left"/>
              <w:textAlignment w:val="center"/>
              <w:rPr>
                <w:rFonts w:hint="default" w:ascii="宋体" w:hAnsi="宋体" w:eastAsia="宋体" w:cs="宋体"/>
                <w:sz w:val="21"/>
                <w:szCs w:val="21"/>
                <w:lang w:val="en-US" w:eastAsia="zh-CN" w:bidi="ar"/>
              </w:rPr>
            </w:pPr>
            <w:r>
              <w:rPr>
                <w:rFonts w:hint="eastAsia" w:ascii="宋体" w:hAnsi="宋体" w:eastAsia="宋体" w:cs="宋体"/>
                <w:sz w:val="21"/>
                <w:szCs w:val="21"/>
                <w:lang w:val="en-US" w:eastAsia="zh-CN" w:bidi="ar"/>
              </w:rPr>
              <w:t>11</w:t>
            </w:r>
          </w:p>
        </w:tc>
        <w:tc>
          <w:tcPr>
            <w:tcW w:w="744" w:type="dxa"/>
            <w:vAlign w:val="center"/>
          </w:tcPr>
          <w:p w14:paraId="4E052690">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笔式电导率仪</w:t>
            </w:r>
          </w:p>
        </w:tc>
        <w:tc>
          <w:tcPr>
            <w:tcW w:w="899" w:type="dxa"/>
            <w:gridSpan w:val="2"/>
            <w:vAlign w:val="center"/>
          </w:tcPr>
          <w:p w14:paraId="7CCD0ED9">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雅科/EC-8801A</w:t>
            </w:r>
          </w:p>
        </w:tc>
        <w:tc>
          <w:tcPr>
            <w:tcW w:w="4631" w:type="dxa"/>
            <w:gridSpan w:val="3"/>
            <w:vAlign w:val="center"/>
          </w:tcPr>
          <w:p w14:paraId="685FE22D">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EC范围：0.00-10.00mS/cm，精度±2%f.s;</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可拆卸探头，电极更换方便；</w:t>
            </w:r>
            <w:r>
              <w:rPr>
                <w:rFonts w:hint="eastAsia" w:ascii="宋体" w:hAnsi="宋体" w:eastAsia="宋体" w:cs="宋体"/>
                <w:sz w:val="21"/>
                <w:szCs w:val="21"/>
                <w:lang w:eastAsia="zh-CN" w:bidi="ar"/>
              </w:rPr>
              <w:br w:type="textWrapping"/>
            </w:r>
            <w:r>
              <w:rPr>
                <w:rFonts w:hint="eastAsia" w:ascii="宋体" w:hAnsi="宋体" w:eastAsia="宋体" w:cs="宋体"/>
                <w:sz w:val="21"/>
                <w:szCs w:val="21"/>
                <w:lang w:eastAsia="zh-CN" w:bidi="ar"/>
              </w:rPr>
              <w:t>屏幕：数显。</w:t>
            </w:r>
          </w:p>
        </w:tc>
        <w:tc>
          <w:tcPr>
            <w:tcW w:w="559" w:type="dxa"/>
            <w:vAlign w:val="center"/>
          </w:tcPr>
          <w:p w14:paraId="25903946">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台</w:t>
            </w:r>
          </w:p>
        </w:tc>
        <w:tc>
          <w:tcPr>
            <w:tcW w:w="419" w:type="dxa"/>
            <w:vAlign w:val="center"/>
          </w:tcPr>
          <w:p w14:paraId="3CA17312">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4</w:t>
            </w:r>
          </w:p>
        </w:tc>
        <w:tc>
          <w:tcPr>
            <w:tcW w:w="639" w:type="dxa"/>
            <w:tcBorders>
              <w:top w:val="nil"/>
              <w:left w:val="nil"/>
              <w:bottom w:val="single" w:color="000000" w:sz="8" w:space="0"/>
              <w:right w:val="single" w:color="000000" w:sz="8" w:space="0"/>
            </w:tcBorders>
            <w:shd w:val="clear" w:color="auto" w:fill="auto"/>
            <w:vAlign w:val="center"/>
          </w:tcPr>
          <w:p w14:paraId="4322194E">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200</w:t>
            </w:r>
          </w:p>
        </w:tc>
        <w:tc>
          <w:tcPr>
            <w:tcW w:w="889" w:type="dxa"/>
            <w:tcBorders>
              <w:top w:val="nil"/>
              <w:left w:val="nil"/>
              <w:bottom w:val="single" w:color="000000" w:sz="8" w:space="0"/>
              <w:right w:val="single" w:color="000000" w:sz="8" w:space="0"/>
            </w:tcBorders>
            <w:shd w:val="clear" w:color="auto" w:fill="auto"/>
            <w:vAlign w:val="center"/>
          </w:tcPr>
          <w:p w14:paraId="41DD488C">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800</w:t>
            </w:r>
          </w:p>
        </w:tc>
        <w:tc>
          <w:tcPr>
            <w:tcW w:w="1211" w:type="dxa"/>
            <w:vAlign w:val="center"/>
          </w:tcPr>
          <w:p w14:paraId="2F6BC851">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北区5栋昆虫实训室</w:t>
            </w:r>
          </w:p>
        </w:tc>
      </w:tr>
      <w:tr w14:paraId="38BAA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364" w:type="dxa"/>
            <w:vAlign w:val="center"/>
          </w:tcPr>
          <w:p w14:paraId="247BC550">
            <w:pPr>
              <w:jc w:val="left"/>
              <w:textAlignment w:val="center"/>
              <w:rPr>
                <w:rFonts w:hint="default" w:ascii="宋体" w:hAnsi="宋体" w:eastAsia="宋体" w:cs="宋体"/>
                <w:sz w:val="21"/>
                <w:szCs w:val="21"/>
                <w:lang w:val="en-US" w:eastAsia="zh-CN" w:bidi="ar"/>
              </w:rPr>
            </w:pPr>
            <w:r>
              <w:rPr>
                <w:rFonts w:hint="eastAsia" w:ascii="宋体" w:hAnsi="宋体" w:eastAsia="宋体" w:cs="宋体"/>
                <w:sz w:val="21"/>
                <w:szCs w:val="21"/>
                <w:lang w:val="en-US" w:eastAsia="zh-CN" w:bidi="ar"/>
              </w:rPr>
              <w:t>12</w:t>
            </w:r>
          </w:p>
        </w:tc>
        <w:tc>
          <w:tcPr>
            <w:tcW w:w="744" w:type="dxa"/>
            <w:vAlign w:val="center"/>
          </w:tcPr>
          <w:p w14:paraId="0CE5920F">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土壤酸碱检测仪</w:t>
            </w:r>
          </w:p>
        </w:tc>
        <w:tc>
          <w:tcPr>
            <w:tcW w:w="899" w:type="dxa"/>
            <w:gridSpan w:val="2"/>
            <w:vAlign w:val="center"/>
          </w:tcPr>
          <w:p w14:paraId="4D1E35F3">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匠人堂/JRT-711</w:t>
            </w:r>
          </w:p>
        </w:tc>
        <w:tc>
          <w:tcPr>
            <w:tcW w:w="4631" w:type="dxa"/>
            <w:gridSpan w:val="3"/>
            <w:vAlign w:val="center"/>
          </w:tcPr>
          <w:p w14:paraId="085C8014">
            <w:pPr>
              <w:spacing w:line="400" w:lineRule="exact"/>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配置：多功能采集斧，解剖镊，毒瓶试剂，昆虫记录表，三件套(采集锨)，充电手电筒，养虫盒，指南针，折叠锹，检疫手套，3 米钢卷尺，铅笔，折叠手锯，解剖剪，昆虫采集管，植物记录表，三件套(采集耙，美工刀，保温杯，剪枝剪，标本袋，检疫口罩，水桶，三角纸袋，带光源放大镜，毒瓶，捕虫网，三件套(采集铲)，标本刷，昆虫盒，多用刮树挠，环剥器，计数器，标签纸，芽接刀，铝合金手提箱，规格475*285*175mm。</w:t>
            </w:r>
          </w:p>
        </w:tc>
        <w:tc>
          <w:tcPr>
            <w:tcW w:w="559" w:type="dxa"/>
            <w:vAlign w:val="center"/>
          </w:tcPr>
          <w:p w14:paraId="62F2ED39">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台</w:t>
            </w:r>
          </w:p>
        </w:tc>
        <w:tc>
          <w:tcPr>
            <w:tcW w:w="419" w:type="dxa"/>
            <w:vAlign w:val="center"/>
          </w:tcPr>
          <w:p w14:paraId="4ADF3B41">
            <w:pPr>
              <w:jc w:val="left"/>
              <w:textAlignment w:val="center"/>
              <w:rPr>
                <w:rFonts w:ascii="宋体" w:hAnsi="宋体" w:eastAsia="宋体" w:cs="宋体"/>
                <w:sz w:val="21"/>
                <w:szCs w:val="21"/>
                <w:lang w:eastAsia="zh-CN" w:bidi="ar"/>
              </w:rPr>
            </w:pPr>
            <w:r>
              <w:rPr>
                <w:rFonts w:hint="eastAsia" w:ascii="宋体" w:hAnsi="宋体" w:eastAsia="宋体" w:cs="宋体"/>
                <w:sz w:val="21"/>
                <w:szCs w:val="21"/>
                <w:lang w:eastAsia="zh-CN" w:bidi="ar"/>
              </w:rPr>
              <w:t>5</w:t>
            </w:r>
          </w:p>
        </w:tc>
        <w:tc>
          <w:tcPr>
            <w:tcW w:w="639" w:type="dxa"/>
            <w:tcBorders>
              <w:top w:val="nil"/>
              <w:left w:val="nil"/>
              <w:bottom w:val="single" w:color="000000" w:sz="8" w:space="0"/>
              <w:right w:val="single" w:color="000000" w:sz="8" w:space="0"/>
            </w:tcBorders>
            <w:shd w:val="clear" w:color="auto" w:fill="auto"/>
            <w:vAlign w:val="center"/>
          </w:tcPr>
          <w:p w14:paraId="5901E9CE">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200</w:t>
            </w:r>
          </w:p>
        </w:tc>
        <w:tc>
          <w:tcPr>
            <w:tcW w:w="889" w:type="dxa"/>
            <w:tcBorders>
              <w:top w:val="nil"/>
              <w:left w:val="nil"/>
              <w:bottom w:val="single" w:color="000000" w:sz="8" w:space="0"/>
              <w:right w:val="single" w:color="000000" w:sz="8" w:space="0"/>
            </w:tcBorders>
            <w:shd w:val="clear" w:color="auto" w:fill="auto"/>
            <w:vAlign w:val="center"/>
          </w:tcPr>
          <w:p w14:paraId="4ED50773">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eastAsia="zh-CN" w:bidi="ar"/>
              </w:rPr>
              <w:t>1000</w:t>
            </w:r>
          </w:p>
        </w:tc>
        <w:tc>
          <w:tcPr>
            <w:tcW w:w="1211" w:type="dxa"/>
            <w:vAlign w:val="center"/>
          </w:tcPr>
          <w:p w14:paraId="4A486C00">
            <w:pPr>
              <w:jc w:val="left"/>
              <w:textAlignment w:val="center"/>
              <w:rPr>
                <w:rFonts w:hint="eastAsia" w:ascii="宋体" w:hAnsi="宋体" w:eastAsia="宋体" w:cs="宋体"/>
                <w:sz w:val="21"/>
                <w:szCs w:val="21"/>
                <w:lang w:eastAsia="zh-CN" w:bidi="ar"/>
              </w:rPr>
            </w:pPr>
            <w:r>
              <w:rPr>
                <w:rFonts w:hint="eastAsia" w:ascii="宋体" w:hAnsi="宋体" w:eastAsia="宋体" w:cs="宋体"/>
                <w:sz w:val="21"/>
                <w:szCs w:val="21"/>
                <w:lang w:val="en-US" w:eastAsia="zh-CN" w:bidi="ar"/>
              </w:rPr>
              <w:t>北区5栋昆虫实训室</w:t>
            </w:r>
          </w:p>
        </w:tc>
      </w:tr>
      <w:tr w14:paraId="39A87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10355" w:type="dxa"/>
            <w:gridSpan w:val="12"/>
          </w:tcPr>
          <w:p w14:paraId="445FBCCA">
            <w:pPr>
              <w:pStyle w:val="7"/>
              <w:spacing w:before="181" w:line="219" w:lineRule="auto"/>
              <w:ind w:left="1334"/>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5"/>
                <w:sz w:val="21"/>
                <w:szCs w:val="21"/>
                <w:lang w:eastAsia="zh-CN"/>
              </w:rPr>
              <w:t>合计金额：人民币大写)壹拾万肆仟陆佰元整 (小写)¥1</w:t>
            </w:r>
            <w:r>
              <w:rPr>
                <w:rFonts w:asciiTheme="minorEastAsia" w:hAnsiTheme="minorEastAsia" w:eastAsiaTheme="minorEastAsia" w:cstheme="minorEastAsia"/>
                <w:spacing w:val="5"/>
                <w:sz w:val="21"/>
                <w:szCs w:val="21"/>
                <w:lang w:eastAsia="zh-CN"/>
              </w:rPr>
              <w:t>046</w:t>
            </w:r>
            <w:r>
              <w:rPr>
                <w:rFonts w:hint="eastAsia" w:asciiTheme="minorEastAsia" w:hAnsiTheme="minorEastAsia" w:eastAsiaTheme="minorEastAsia" w:cstheme="minorEastAsia"/>
                <w:spacing w:val="5"/>
                <w:sz w:val="21"/>
                <w:szCs w:val="21"/>
                <w:lang w:eastAsia="zh-CN"/>
              </w:rPr>
              <w:t>00.00</w:t>
            </w:r>
          </w:p>
        </w:tc>
      </w:tr>
      <w:tr w14:paraId="13FD5A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0355" w:type="dxa"/>
            <w:gridSpan w:val="12"/>
          </w:tcPr>
          <w:p w14:paraId="037830D1">
            <w:pPr>
              <w:pStyle w:val="7"/>
              <w:spacing w:before="173" w:line="219" w:lineRule="auto"/>
              <w:ind w:left="4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▲二、商务要求</w:t>
            </w:r>
          </w:p>
        </w:tc>
      </w:tr>
      <w:tr w14:paraId="1D2C0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9" w:hRule="atLeast"/>
        </w:trPr>
        <w:tc>
          <w:tcPr>
            <w:tcW w:w="1681" w:type="dxa"/>
            <w:gridSpan w:val="3"/>
          </w:tcPr>
          <w:p w14:paraId="29089AC6">
            <w:pPr>
              <w:spacing w:line="253" w:lineRule="auto"/>
              <w:rPr>
                <w:rFonts w:asciiTheme="minorEastAsia" w:hAnsiTheme="minorEastAsia" w:eastAsiaTheme="minorEastAsia" w:cstheme="minorEastAsia"/>
                <w:sz w:val="21"/>
                <w:szCs w:val="21"/>
              </w:rPr>
            </w:pPr>
          </w:p>
          <w:p w14:paraId="65941AB5">
            <w:pPr>
              <w:spacing w:line="253" w:lineRule="auto"/>
              <w:rPr>
                <w:rFonts w:asciiTheme="minorEastAsia" w:hAnsiTheme="minorEastAsia" w:eastAsiaTheme="minorEastAsia" w:cstheme="minorEastAsia"/>
                <w:sz w:val="21"/>
                <w:szCs w:val="21"/>
              </w:rPr>
            </w:pPr>
          </w:p>
          <w:p w14:paraId="7A8E0101">
            <w:pPr>
              <w:spacing w:line="254" w:lineRule="auto"/>
              <w:rPr>
                <w:rFonts w:asciiTheme="minorEastAsia" w:hAnsiTheme="minorEastAsia" w:eastAsiaTheme="minorEastAsia" w:cstheme="minorEastAsia"/>
                <w:sz w:val="21"/>
                <w:szCs w:val="21"/>
              </w:rPr>
            </w:pPr>
          </w:p>
          <w:p w14:paraId="54FEE86A">
            <w:pPr>
              <w:pStyle w:val="7"/>
              <w:spacing w:before="78" w:line="218" w:lineRule="auto"/>
              <w:ind w:left="31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报价要求</w:t>
            </w:r>
          </w:p>
        </w:tc>
        <w:tc>
          <w:tcPr>
            <w:tcW w:w="8674" w:type="dxa"/>
            <w:gridSpan w:val="9"/>
          </w:tcPr>
          <w:p w14:paraId="64EEA32A">
            <w:pPr>
              <w:pStyle w:val="7"/>
              <w:spacing w:before="72" w:line="218" w:lineRule="auto"/>
              <w:ind w:left="62"/>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报价为采购人指定地点的现场交付价格，包括但不限</w:t>
            </w:r>
            <w:r>
              <w:rPr>
                <w:rFonts w:hint="eastAsia" w:asciiTheme="minorEastAsia" w:hAnsiTheme="minorEastAsia" w:eastAsiaTheme="minorEastAsia" w:cstheme="minorEastAsia"/>
                <w:spacing w:val="-1"/>
                <w:sz w:val="21"/>
                <w:szCs w:val="21"/>
                <w:lang w:eastAsia="zh-CN"/>
              </w:rPr>
              <w:t>于：</w:t>
            </w:r>
          </w:p>
          <w:p w14:paraId="51368FCD">
            <w:pPr>
              <w:pStyle w:val="7"/>
              <w:spacing w:before="36" w:line="218" w:lineRule="auto"/>
              <w:ind w:left="32"/>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6"/>
                <w:sz w:val="21"/>
                <w:szCs w:val="21"/>
                <w:lang w:eastAsia="zh-CN"/>
              </w:rPr>
              <w:t>1)采购内容中所有货物和服务的价格；</w:t>
            </w:r>
          </w:p>
          <w:p w14:paraId="2B21405D">
            <w:pPr>
              <w:pStyle w:val="7"/>
              <w:spacing w:before="36" w:line="218" w:lineRule="auto"/>
              <w:ind w:left="32"/>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5"/>
                <w:sz w:val="21"/>
                <w:szCs w:val="21"/>
                <w:lang w:eastAsia="zh-CN"/>
              </w:rPr>
              <w:t>2)货物的标准附件、备品备件、专用工具的价格；</w:t>
            </w:r>
          </w:p>
          <w:p w14:paraId="4CE78846">
            <w:pPr>
              <w:pStyle w:val="7"/>
              <w:spacing w:before="18" w:line="229" w:lineRule="auto"/>
              <w:ind w:left="51" w:hanging="39"/>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3)运输、装卸、安装(含安装材料)、调试、培训、技术支持、</w:t>
            </w:r>
            <w:r>
              <w:rPr>
                <w:rFonts w:hint="eastAsia" w:asciiTheme="minorEastAsia" w:hAnsiTheme="minorEastAsia" w:eastAsiaTheme="minorEastAsia" w:cstheme="minorEastAsia"/>
                <w:spacing w:val="6"/>
                <w:sz w:val="21"/>
                <w:szCs w:val="21"/>
                <w:lang w:eastAsia="zh-CN"/>
              </w:rPr>
              <w:t xml:space="preserve"> </w:t>
            </w:r>
            <w:r>
              <w:rPr>
                <w:rFonts w:hint="eastAsia" w:asciiTheme="minorEastAsia" w:hAnsiTheme="minorEastAsia" w:eastAsiaTheme="minorEastAsia" w:cstheme="minorEastAsia"/>
                <w:spacing w:val="-9"/>
                <w:sz w:val="21"/>
                <w:szCs w:val="21"/>
                <w:lang w:eastAsia="zh-CN"/>
              </w:rPr>
              <w:t>售后服务的费用，质保期内免费维修、养护、软件升级等费用；</w:t>
            </w:r>
          </w:p>
          <w:p w14:paraId="17F26AD3">
            <w:pPr>
              <w:pStyle w:val="7"/>
              <w:spacing w:before="45" w:line="188" w:lineRule="auto"/>
              <w:ind w:left="42"/>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4)必要的保险、检测费用和各项税费等。</w:t>
            </w:r>
          </w:p>
        </w:tc>
      </w:tr>
      <w:tr w14:paraId="12247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5" w:hRule="atLeast"/>
        </w:trPr>
        <w:tc>
          <w:tcPr>
            <w:tcW w:w="1681" w:type="dxa"/>
            <w:gridSpan w:val="3"/>
            <w:vAlign w:val="center"/>
          </w:tcPr>
          <w:p w14:paraId="5C16FEE9">
            <w:pPr>
              <w:pStyle w:val="7"/>
              <w:spacing w:before="78" w:line="220" w:lineRule="auto"/>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质保期</w:t>
            </w:r>
          </w:p>
        </w:tc>
        <w:tc>
          <w:tcPr>
            <w:tcW w:w="8674" w:type="dxa"/>
            <w:gridSpan w:val="9"/>
          </w:tcPr>
          <w:p w14:paraId="3E554945">
            <w:pPr>
              <w:pStyle w:val="7"/>
              <w:spacing w:before="47" w:line="232" w:lineRule="auto"/>
              <w:ind w:left="32" w:right="125" w:firstLine="10"/>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 xml:space="preserve">1.免费质保期 2 年。(分项货物服务要求中有特别注明的， </w:t>
            </w:r>
            <w:r>
              <w:rPr>
                <w:rFonts w:hint="eastAsia" w:asciiTheme="minorEastAsia" w:hAnsiTheme="minorEastAsia" w:eastAsiaTheme="minorEastAsia" w:cstheme="minorEastAsia"/>
                <w:spacing w:val="5"/>
                <w:sz w:val="21"/>
                <w:szCs w:val="21"/>
                <w:lang w:eastAsia="zh-CN"/>
              </w:rPr>
              <w:t>按特别注明的执行)</w:t>
            </w:r>
          </w:p>
          <w:p w14:paraId="760F0381">
            <w:pPr>
              <w:pStyle w:val="7"/>
              <w:spacing w:before="26" w:line="229" w:lineRule="auto"/>
              <w:ind w:left="22"/>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sz w:val="21"/>
                <w:szCs w:val="21"/>
                <w:lang w:eastAsia="zh-CN"/>
              </w:rPr>
              <w:t>2.所有货物服务按国家“三包”有关规定执行“三包”。质保期自交付验收合格之日起计算，质保期内提供上门维修、更换</w:t>
            </w:r>
            <w:r>
              <w:rPr>
                <w:rFonts w:hint="eastAsia" w:asciiTheme="minorEastAsia" w:hAnsiTheme="minorEastAsia" w:eastAsiaTheme="minorEastAsia" w:cstheme="minorEastAsia"/>
                <w:spacing w:val="1"/>
                <w:sz w:val="21"/>
                <w:szCs w:val="21"/>
                <w:lang w:eastAsia="zh-CN"/>
              </w:rPr>
              <w:t>和软件升级服务；质保期结束后，提供终身维护，并</w:t>
            </w:r>
            <w:r>
              <w:rPr>
                <w:rFonts w:hint="eastAsia" w:asciiTheme="minorEastAsia" w:hAnsiTheme="minorEastAsia" w:eastAsiaTheme="minorEastAsia" w:cstheme="minorEastAsia"/>
                <w:sz w:val="21"/>
                <w:szCs w:val="21"/>
                <w:lang w:eastAsia="zh-CN"/>
              </w:rPr>
              <w:t>优惠提供</w:t>
            </w:r>
            <w:r>
              <w:rPr>
                <w:rFonts w:hint="eastAsia" w:asciiTheme="minorEastAsia" w:hAnsiTheme="minorEastAsia" w:eastAsiaTheme="minorEastAsia" w:cstheme="minorEastAsia"/>
                <w:spacing w:val="1"/>
                <w:sz w:val="21"/>
                <w:szCs w:val="21"/>
                <w:lang w:eastAsia="zh-CN"/>
              </w:rPr>
              <w:t>相关零配件。</w:t>
            </w:r>
          </w:p>
          <w:p w14:paraId="592CBD74">
            <w:pPr>
              <w:pStyle w:val="7"/>
              <w:spacing w:before="26" w:line="229" w:lineRule="auto"/>
              <w:rPr>
                <w:rFonts w:hint="default" w:asciiTheme="minorEastAsia" w:hAnsiTheme="minorEastAsia" w:eastAsiaTheme="minorEastAsia" w:cstheme="minorEastAsia"/>
                <w:spacing w:val="1"/>
                <w:sz w:val="21"/>
                <w:szCs w:val="21"/>
                <w:lang w:val="en-US" w:eastAsia="zh-CN"/>
              </w:rPr>
            </w:pPr>
          </w:p>
        </w:tc>
      </w:tr>
      <w:tr w14:paraId="5F0DE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5" w:hRule="atLeast"/>
        </w:trPr>
        <w:tc>
          <w:tcPr>
            <w:tcW w:w="1681" w:type="dxa"/>
            <w:gridSpan w:val="3"/>
          </w:tcPr>
          <w:p w14:paraId="3E80803A">
            <w:pPr>
              <w:spacing w:line="265" w:lineRule="auto"/>
              <w:rPr>
                <w:rFonts w:asciiTheme="minorEastAsia" w:hAnsiTheme="minorEastAsia" w:eastAsiaTheme="minorEastAsia" w:cstheme="minorEastAsia"/>
                <w:sz w:val="21"/>
                <w:szCs w:val="21"/>
                <w:lang w:eastAsia="zh-CN"/>
              </w:rPr>
            </w:pPr>
          </w:p>
          <w:p w14:paraId="280EEDB3">
            <w:pPr>
              <w:spacing w:line="265" w:lineRule="auto"/>
              <w:rPr>
                <w:rFonts w:asciiTheme="minorEastAsia" w:hAnsiTheme="minorEastAsia" w:eastAsiaTheme="minorEastAsia" w:cstheme="minorEastAsia"/>
                <w:sz w:val="21"/>
                <w:szCs w:val="21"/>
                <w:lang w:eastAsia="zh-CN"/>
              </w:rPr>
            </w:pPr>
          </w:p>
          <w:p w14:paraId="5B62B062">
            <w:pPr>
              <w:spacing w:line="266" w:lineRule="auto"/>
              <w:rPr>
                <w:rFonts w:asciiTheme="minorEastAsia" w:hAnsiTheme="minorEastAsia" w:eastAsiaTheme="minorEastAsia" w:cstheme="minorEastAsia"/>
                <w:sz w:val="21"/>
                <w:szCs w:val="21"/>
                <w:lang w:eastAsia="zh-CN"/>
              </w:rPr>
            </w:pPr>
          </w:p>
          <w:p w14:paraId="1FA12418">
            <w:pPr>
              <w:pStyle w:val="7"/>
              <w:spacing w:before="78" w:line="248" w:lineRule="auto"/>
              <w:ind w:left="435" w:right="97" w:hanging="36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产品及售后服</w:t>
            </w:r>
            <w:r>
              <w:rPr>
                <w:rFonts w:hint="eastAsia" w:asciiTheme="minorEastAsia" w:hAnsiTheme="minorEastAsia" w:eastAsiaTheme="minorEastAsia" w:cstheme="minorEastAsia"/>
                <w:spacing w:val="1"/>
                <w:sz w:val="21"/>
                <w:szCs w:val="21"/>
              </w:rPr>
              <w:t xml:space="preserve"> </w:t>
            </w:r>
            <w:r>
              <w:rPr>
                <w:rFonts w:hint="eastAsia" w:asciiTheme="minorEastAsia" w:hAnsiTheme="minorEastAsia" w:eastAsiaTheme="minorEastAsia" w:cstheme="minorEastAsia"/>
                <w:spacing w:val="3"/>
                <w:sz w:val="21"/>
                <w:szCs w:val="21"/>
              </w:rPr>
              <w:t>务要求</w:t>
            </w:r>
          </w:p>
        </w:tc>
        <w:tc>
          <w:tcPr>
            <w:tcW w:w="8674" w:type="dxa"/>
            <w:gridSpan w:val="9"/>
          </w:tcPr>
          <w:p w14:paraId="6F21ADAC">
            <w:pPr>
              <w:pStyle w:val="7"/>
              <w:spacing w:before="48" w:line="234" w:lineRule="auto"/>
              <w:ind w:left="32" w:right="126" w:hanging="10"/>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1.成交人交付的所有设备必须是签订合同之日前1年内生产的产品。</w:t>
            </w:r>
          </w:p>
          <w:p w14:paraId="02CFA153">
            <w:pPr>
              <w:pStyle w:val="7"/>
              <w:spacing w:line="241" w:lineRule="auto"/>
              <w:ind w:left="12" w:right="3" w:firstLine="20"/>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2.送货至采购人指定地点，协助进行安装场地设计，完成安装和调试。所有安装应符合国家、行业相关标准及规范。(所有</w:t>
            </w:r>
            <w:r>
              <w:rPr>
                <w:rFonts w:hint="eastAsia" w:asciiTheme="minorEastAsia" w:hAnsiTheme="minorEastAsia" w:eastAsiaTheme="minorEastAsia" w:cstheme="minorEastAsia"/>
                <w:spacing w:val="5"/>
                <w:sz w:val="21"/>
                <w:szCs w:val="21"/>
                <w:lang w:eastAsia="zh-CN"/>
              </w:rPr>
              <w:t>货物仅接受现场交付，不接受邮递)</w:t>
            </w:r>
          </w:p>
          <w:p w14:paraId="068473FE">
            <w:pPr>
              <w:pStyle w:val="7"/>
              <w:spacing w:before="2" w:line="239" w:lineRule="auto"/>
              <w:ind w:left="61" w:hanging="29"/>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3.为采购人提供产品操作、维修、日常养护等方面的培训，确</w:t>
            </w:r>
            <w:r>
              <w:rPr>
                <w:rFonts w:hint="eastAsia" w:asciiTheme="minorEastAsia" w:hAnsiTheme="minorEastAsia" w:eastAsiaTheme="minorEastAsia" w:cstheme="minorEastAsia"/>
                <w:spacing w:val="-1"/>
                <w:sz w:val="21"/>
                <w:szCs w:val="21"/>
                <w:lang w:eastAsia="zh-CN"/>
              </w:rPr>
              <w:t>保采购方使用人员能独立操作使用，培训人数、时间、地点等</w:t>
            </w:r>
            <w:r>
              <w:rPr>
                <w:rFonts w:hint="eastAsia" w:asciiTheme="minorEastAsia" w:hAnsiTheme="minorEastAsia" w:eastAsiaTheme="minorEastAsia" w:cstheme="minorEastAsia"/>
                <w:spacing w:val="10"/>
                <w:sz w:val="21"/>
                <w:szCs w:val="21"/>
                <w:lang w:eastAsia="zh-CN"/>
              </w:rPr>
              <w:t xml:space="preserve"> </w:t>
            </w:r>
            <w:r>
              <w:rPr>
                <w:rFonts w:hint="eastAsia" w:asciiTheme="minorEastAsia" w:hAnsiTheme="minorEastAsia" w:eastAsiaTheme="minorEastAsia" w:cstheme="minorEastAsia"/>
                <w:spacing w:val="-1"/>
                <w:sz w:val="21"/>
                <w:szCs w:val="21"/>
                <w:lang w:eastAsia="zh-CN"/>
              </w:rPr>
              <w:t>由采购人指定。</w:t>
            </w:r>
          </w:p>
          <w:p w14:paraId="4A9F64CA">
            <w:pPr>
              <w:pStyle w:val="7"/>
              <w:spacing w:before="27" w:line="228" w:lineRule="auto"/>
              <w:ind w:left="32" w:firstLine="19"/>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4.故障响应时间：在使用过程中出现质量问题，</w:t>
            </w:r>
            <w:r>
              <w:rPr>
                <w:rFonts w:hint="eastAsia" w:asciiTheme="minorEastAsia" w:hAnsiTheme="minorEastAsia" w:eastAsiaTheme="minorEastAsia" w:cstheme="minorEastAsia"/>
                <w:spacing w:val="-1"/>
                <w:sz w:val="21"/>
                <w:szCs w:val="21"/>
                <w:lang w:eastAsia="zh-CN"/>
              </w:rPr>
              <w:t>成交人在接到</w:t>
            </w:r>
            <w:r>
              <w:rPr>
                <w:rFonts w:hint="eastAsia" w:asciiTheme="minorEastAsia" w:hAnsiTheme="minorEastAsia" w:eastAsiaTheme="minorEastAsia" w:cstheme="minorEastAsia"/>
                <w:sz w:val="21"/>
                <w:szCs w:val="21"/>
                <w:lang w:eastAsia="zh-CN"/>
              </w:rPr>
              <w:t>采购人通知后1小时作出响应；如需到达现场解决的，</w:t>
            </w:r>
            <w:r>
              <w:rPr>
                <w:rFonts w:hint="eastAsia" w:asciiTheme="minorEastAsia" w:hAnsiTheme="minorEastAsia" w:eastAsiaTheme="minorEastAsia" w:cstheme="minorEastAsia"/>
                <w:spacing w:val="-1"/>
                <w:sz w:val="21"/>
                <w:szCs w:val="21"/>
                <w:lang w:eastAsia="zh-CN"/>
              </w:rPr>
              <w:t>在8小</w:t>
            </w:r>
            <w:r>
              <w:rPr>
                <w:rFonts w:hint="eastAsia" w:asciiTheme="minorEastAsia" w:hAnsiTheme="minorEastAsia" w:eastAsiaTheme="minorEastAsia" w:cstheme="minorEastAsia"/>
                <w:sz w:val="21"/>
                <w:szCs w:val="21"/>
                <w:lang w:eastAsia="zh-CN"/>
              </w:rPr>
              <w:t>时内应到达现场。</w:t>
            </w:r>
          </w:p>
          <w:p w14:paraId="34AF4A40">
            <w:pPr>
              <w:pStyle w:val="7"/>
              <w:spacing w:before="32" w:line="230" w:lineRule="auto"/>
              <w:ind w:left="32" w:hanging="10"/>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5.成交人须遵守校园出入规定，在供货、安装过程中确保相关人员安全。供货、安装过程中产生的残留物或垃圾，成交人需</w:t>
            </w:r>
            <w:r>
              <w:rPr>
                <w:rFonts w:hint="eastAsia" w:asciiTheme="minorEastAsia" w:hAnsiTheme="minorEastAsia" w:eastAsiaTheme="minorEastAsia" w:cstheme="minorEastAsia"/>
                <w:spacing w:val="4"/>
                <w:sz w:val="21"/>
                <w:szCs w:val="21"/>
                <w:lang w:eastAsia="zh-CN"/>
              </w:rPr>
              <w:t>自行清理至校外。</w:t>
            </w:r>
          </w:p>
        </w:tc>
      </w:tr>
      <w:tr w14:paraId="10C68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trPr>
        <w:tc>
          <w:tcPr>
            <w:tcW w:w="1681" w:type="dxa"/>
            <w:gridSpan w:val="3"/>
            <w:vAlign w:val="center"/>
          </w:tcPr>
          <w:p w14:paraId="07412E6C">
            <w:pPr>
              <w:pStyle w:val="7"/>
              <w:spacing w:before="214" w:line="217" w:lineRule="auto"/>
              <w:ind w:left="444" w:right="67" w:hanging="380"/>
              <w:jc w:val="both"/>
              <w:rPr>
                <w:rFonts w:asciiTheme="minorEastAsia" w:hAnsiTheme="minorEastAsia" w:eastAsiaTheme="minorEastAsia" w:cstheme="minorEastAsia"/>
                <w:spacing w:val="-2"/>
                <w:sz w:val="21"/>
                <w:szCs w:val="21"/>
              </w:rPr>
            </w:pPr>
            <w:r>
              <w:rPr>
                <w:rFonts w:hint="eastAsia" w:asciiTheme="minorEastAsia" w:hAnsiTheme="minorEastAsia" w:eastAsiaTheme="minorEastAsia" w:cstheme="minorEastAsia"/>
                <w:spacing w:val="1"/>
                <w:sz w:val="21"/>
                <w:szCs w:val="21"/>
              </w:rPr>
              <w:t>交付时间、交</w:t>
            </w:r>
            <w:r>
              <w:rPr>
                <w:rFonts w:hint="eastAsia" w:asciiTheme="minorEastAsia" w:hAnsiTheme="minorEastAsia" w:eastAsiaTheme="minorEastAsia" w:cstheme="minorEastAsia"/>
                <w:spacing w:val="3"/>
                <w:sz w:val="21"/>
                <w:szCs w:val="21"/>
              </w:rPr>
              <w:t xml:space="preserve"> </w:t>
            </w:r>
            <w:r>
              <w:rPr>
                <w:rFonts w:hint="eastAsia" w:asciiTheme="minorEastAsia" w:hAnsiTheme="minorEastAsia" w:eastAsiaTheme="minorEastAsia" w:cstheme="minorEastAsia"/>
                <w:spacing w:val="7"/>
                <w:sz w:val="21"/>
                <w:szCs w:val="21"/>
              </w:rPr>
              <w:t>付地点</w:t>
            </w:r>
          </w:p>
        </w:tc>
        <w:tc>
          <w:tcPr>
            <w:tcW w:w="8674" w:type="dxa"/>
            <w:gridSpan w:val="9"/>
            <w:vAlign w:val="center"/>
          </w:tcPr>
          <w:p w14:paraId="078A27EA">
            <w:pPr>
              <w:pStyle w:val="7"/>
              <w:spacing w:before="23" w:line="222" w:lineRule="auto"/>
              <w:ind w:left="11" w:right="4" w:firstLine="40"/>
              <w:jc w:val="both"/>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4"/>
                <w:sz w:val="21"/>
                <w:szCs w:val="21"/>
                <w:lang w:eastAsia="zh-CN"/>
              </w:rPr>
              <w:t>1.交付时间：自签订合同之日起</w:t>
            </w:r>
            <w:r>
              <w:rPr>
                <w:rFonts w:hint="eastAsia" w:asciiTheme="minorEastAsia" w:hAnsiTheme="minorEastAsia" w:eastAsiaTheme="minorEastAsia" w:cstheme="minorEastAsia"/>
                <w:spacing w:val="-4"/>
                <w:sz w:val="21"/>
                <w:szCs w:val="21"/>
                <w:u w:val="single"/>
                <w:lang w:val="en-US" w:eastAsia="zh-CN"/>
              </w:rPr>
              <w:t xml:space="preserve"> 20 </w:t>
            </w:r>
            <w:r>
              <w:rPr>
                <w:rFonts w:hint="eastAsia" w:asciiTheme="minorEastAsia" w:hAnsiTheme="minorEastAsia" w:eastAsiaTheme="minorEastAsia" w:cstheme="minorEastAsia"/>
                <w:spacing w:val="-4"/>
                <w:sz w:val="21"/>
                <w:szCs w:val="21"/>
                <w:lang w:eastAsia="zh-CN"/>
              </w:rPr>
              <w:t>日历日内全部交</w:t>
            </w:r>
            <w:r>
              <w:rPr>
                <w:rFonts w:hint="eastAsia" w:asciiTheme="minorEastAsia" w:hAnsiTheme="minorEastAsia" w:eastAsiaTheme="minorEastAsia" w:cstheme="minorEastAsia"/>
                <w:spacing w:val="-5"/>
                <w:sz w:val="21"/>
                <w:szCs w:val="21"/>
                <w:lang w:eastAsia="zh-CN"/>
              </w:rPr>
              <w:t>付完戌并验</w:t>
            </w:r>
            <w:r>
              <w:rPr>
                <w:rFonts w:hint="eastAsia" w:asciiTheme="minorEastAsia" w:hAnsiTheme="minorEastAsia" w:eastAsiaTheme="minorEastAsia" w:cstheme="minorEastAsia"/>
                <w:sz w:val="21"/>
                <w:szCs w:val="21"/>
                <w:lang w:eastAsia="zh-CN"/>
              </w:rPr>
              <w:t xml:space="preserve"> </w:t>
            </w:r>
            <w:r>
              <w:rPr>
                <w:rFonts w:hint="eastAsia" w:asciiTheme="minorEastAsia" w:hAnsiTheme="minorEastAsia" w:eastAsiaTheme="minorEastAsia" w:cstheme="minorEastAsia"/>
                <w:spacing w:val="1"/>
                <w:sz w:val="21"/>
                <w:szCs w:val="21"/>
                <w:lang w:eastAsia="zh-CN"/>
              </w:rPr>
              <w:t>收合格。</w:t>
            </w:r>
          </w:p>
          <w:p w14:paraId="5F066550">
            <w:pPr>
              <w:pStyle w:val="7"/>
              <w:spacing w:line="212" w:lineRule="auto"/>
              <w:ind w:left="11"/>
              <w:jc w:val="both"/>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2.交付地点：广西农业职业技术大学。</w:t>
            </w:r>
          </w:p>
        </w:tc>
      </w:tr>
      <w:tr w14:paraId="25920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681" w:type="dxa"/>
            <w:gridSpan w:val="3"/>
            <w:vAlign w:val="center"/>
          </w:tcPr>
          <w:p w14:paraId="4C7F4872">
            <w:pPr>
              <w:pStyle w:val="7"/>
              <w:spacing w:before="82" w:line="219" w:lineRule="auto"/>
              <w:jc w:val="center"/>
              <w:rPr>
                <w:rFonts w:asciiTheme="minorEastAsia" w:hAnsiTheme="minorEastAsia" w:eastAsiaTheme="minorEastAsia" w:cstheme="minorEastAsia"/>
                <w:spacing w:val="-2"/>
                <w:sz w:val="21"/>
                <w:szCs w:val="21"/>
              </w:rPr>
            </w:pPr>
            <w:r>
              <w:rPr>
                <w:rFonts w:hint="eastAsia" w:asciiTheme="minorEastAsia" w:hAnsiTheme="minorEastAsia" w:eastAsiaTheme="minorEastAsia" w:cstheme="minorEastAsia"/>
                <w:spacing w:val="2"/>
                <w:sz w:val="21"/>
                <w:szCs w:val="21"/>
              </w:rPr>
              <w:t>付款条件</w:t>
            </w:r>
          </w:p>
        </w:tc>
        <w:tc>
          <w:tcPr>
            <w:tcW w:w="8674" w:type="dxa"/>
            <w:gridSpan w:val="9"/>
            <w:vAlign w:val="center"/>
          </w:tcPr>
          <w:p w14:paraId="4CAC3922">
            <w:pPr>
              <w:pStyle w:val="7"/>
              <w:numPr>
                <w:ilvl w:val="0"/>
                <w:numId w:val="1"/>
              </w:numPr>
              <w:spacing w:before="10" w:line="229" w:lineRule="auto"/>
              <w:ind w:left="11"/>
              <w:jc w:val="both"/>
              <w:rPr>
                <w:rFonts w:asciiTheme="minorEastAsia" w:hAnsiTheme="minorEastAsia" w:eastAsiaTheme="minorEastAsia" w:cstheme="minorEastAsia"/>
                <w:spacing w:val="5"/>
                <w:sz w:val="21"/>
                <w:szCs w:val="21"/>
                <w:lang w:eastAsia="zh-CN"/>
              </w:rPr>
            </w:pPr>
            <w:r>
              <w:rPr>
                <w:rFonts w:hint="eastAsia" w:asciiTheme="minorEastAsia" w:hAnsiTheme="minorEastAsia" w:eastAsiaTheme="minorEastAsia" w:cstheme="minorEastAsia"/>
                <w:spacing w:val="-3"/>
                <w:sz w:val="21"/>
                <w:szCs w:val="21"/>
                <w:lang w:val="en-US" w:eastAsia="zh-CN"/>
              </w:rPr>
              <w:t>签订合同后，采购人根据成交人提供的发票支付50%合同款，剩余合同款项，</w:t>
            </w:r>
            <w:r>
              <w:rPr>
                <w:rFonts w:hint="eastAsia" w:asciiTheme="minorEastAsia" w:hAnsiTheme="minorEastAsia" w:eastAsiaTheme="minorEastAsia" w:cstheme="minorEastAsia"/>
                <w:spacing w:val="-3"/>
                <w:sz w:val="21"/>
                <w:szCs w:val="21"/>
                <w:lang w:eastAsia="zh-CN"/>
              </w:rPr>
              <w:t>成交人在要求的交付期内，可分批交付，也可一次性交付，</w:t>
            </w:r>
            <w:r>
              <w:rPr>
                <w:rFonts w:hint="eastAsia" w:asciiTheme="minorEastAsia" w:hAnsiTheme="minorEastAsia" w:eastAsiaTheme="minorEastAsia" w:cstheme="minorEastAsia"/>
                <w:spacing w:val="-6"/>
                <w:sz w:val="21"/>
                <w:szCs w:val="21"/>
                <w:lang w:eastAsia="zh-CN"/>
              </w:rPr>
              <w:t>但须先按每次交付并验收完成的金额开具发票给采购人，采购</w:t>
            </w:r>
            <w:r>
              <w:rPr>
                <w:rFonts w:hint="eastAsia" w:asciiTheme="minorEastAsia" w:hAnsiTheme="minorEastAsia" w:eastAsiaTheme="minorEastAsia" w:cstheme="minorEastAsia"/>
                <w:spacing w:val="-5"/>
                <w:sz w:val="21"/>
                <w:szCs w:val="21"/>
                <w:lang w:eastAsia="zh-CN"/>
              </w:rPr>
              <w:t>人在收到发票后30日历日内按发票面额付款。如成</w:t>
            </w:r>
            <w:r>
              <w:rPr>
                <w:rFonts w:hint="eastAsia" w:asciiTheme="minorEastAsia" w:hAnsiTheme="minorEastAsia" w:eastAsiaTheme="minorEastAsia" w:cstheme="minorEastAsia"/>
                <w:spacing w:val="-6"/>
                <w:sz w:val="21"/>
                <w:szCs w:val="21"/>
                <w:lang w:eastAsia="zh-CN"/>
              </w:rPr>
              <w:t>交人未按国家要求开具发票，或未按合同履约的，视为违约，采购人有权</w:t>
            </w: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pacing w:val="-3"/>
                <w:sz w:val="21"/>
                <w:szCs w:val="21"/>
                <w:lang w:eastAsia="zh-CN"/>
              </w:rPr>
              <w:t>扣减履约保证金，或要求解除合同，并追究成交人法律责任。</w:t>
            </w:r>
          </w:p>
          <w:p w14:paraId="08D441E9">
            <w:pPr>
              <w:pStyle w:val="7"/>
              <w:spacing w:before="10" w:line="229" w:lineRule="auto"/>
              <w:jc w:val="both"/>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3"/>
                <w:sz w:val="21"/>
                <w:szCs w:val="21"/>
                <w:lang w:eastAsia="zh-CN"/>
              </w:rPr>
              <w:t>2.本项目收取履约保证金；☑无   □有，人民币元。</w:t>
            </w:r>
          </w:p>
          <w:p w14:paraId="6F3C7FD1">
            <w:pPr>
              <w:pStyle w:val="7"/>
              <w:spacing w:before="1" w:line="220" w:lineRule="auto"/>
              <w:ind w:left="11" w:right="2"/>
              <w:jc w:val="both"/>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3"/>
                <w:sz w:val="21"/>
                <w:szCs w:val="21"/>
                <w:lang w:eastAsia="zh-CN"/>
              </w:rPr>
              <w:t>3.项目收取履约保证金的，成交人须在合同签订前向采购人账</w:t>
            </w:r>
            <w:r>
              <w:rPr>
                <w:rFonts w:hint="eastAsia" w:asciiTheme="minorEastAsia" w:hAnsiTheme="minorEastAsia" w:eastAsiaTheme="minorEastAsia" w:cstheme="minorEastAsia"/>
                <w:spacing w:val="5"/>
                <w:sz w:val="21"/>
                <w:szCs w:val="21"/>
                <w:lang w:eastAsia="zh-CN"/>
              </w:rPr>
              <w:t xml:space="preserve"> </w:t>
            </w:r>
            <w:r>
              <w:rPr>
                <w:rFonts w:hint="eastAsia" w:asciiTheme="minorEastAsia" w:hAnsiTheme="minorEastAsia" w:eastAsiaTheme="minorEastAsia" w:cstheme="minorEastAsia"/>
                <w:spacing w:val="-3"/>
                <w:sz w:val="21"/>
                <w:szCs w:val="21"/>
                <w:lang w:eastAsia="zh-CN"/>
              </w:rPr>
              <w:t>户转付成交金额2%的履约保证金，否则不予签订合同。履约保</w:t>
            </w: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z w:val="21"/>
                <w:szCs w:val="21"/>
                <w:lang w:eastAsia="zh-CN"/>
              </w:rPr>
              <w:t>证金在采购内容全部交付验收完成之后(或服务期满后)无息</w:t>
            </w:r>
            <w:r>
              <w:rPr>
                <w:rFonts w:hint="eastAsia" w:asciiTheme="minorEastAsia" w:hAnsiTheme="minorEastAsia" w:eastAsiaTheme="minorEastAsia" w:cstheme="minorEastAsia"/>
                <w:spacing w:val="1"/>
                <w:sz w:val="21"/>
                <w:szCs w:val="21"/>
                <w:lang w:eastAsia="zh-CN"/>
              </w:rPr>
              <w:t>退付。</w:t>
            </w:r>
          </w:p>
        </w:tc>
      </w:tr>
      <w:tr w14:paraId="1D228D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0355" w:type="dxa"/>
            <w:gridSpan w:val="12"/>
          </w:tcPr>
          <w:p w14:paraId="09DC8DA2">
            <w:pPr>
              <w:pStyle w:val="7"/>
              <w:spacing w:before="32" w:line="230" w:lineRule="auto"/>
              <w:ind w:left="32" w:hanging="1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三、其他要求</w:t>
            </w:r>
          </w:p>
        </w:tc>
      </w:tr>
      <w:tr w14:paraId="1AB61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1681" w:type="dxa"/>
            <w:gridSpan w:val="3"/>
          </w:tcPr>
          <w:p w14:paraId="76842544">
            <w:pPr>
              <w:pStyle w:val="7"/>
              <w:spacing w:before="199" w:line="219" w:lineRule="auto"/>
              <w:ind w:left="314"/>
              <w:rPr>
                <w:rFonts w:asciiTheme="minorEastAsia" w:hAnsiTheme="minorEastAsia" w:eastAsiaTheme="minorEastAsia" w:cstheme="minorEastAsia"/>
                <w:spacing w:val="-2"/>
                <w:sz w:val="21"/>
                <w:szCs w:val="21"/>
              </w:rPr>
            </w:pPr>
            <w:r>
              <w:rPr>
                <w:rFonts w:hint="eastAsia" w:asciiTheme="minorEastAsia" w:hAnsiTheme="minorEastAsia" w:eastAsiaTheme="minorEastAsia" w:cstheme="minorEastAsia"/>
                <w:spacing w:val="6"/>
                <w:sz w:val="21"/>
                <w:szCs w:val="21"/>
              </w:rPr>
              <w:t>核心产品</w:t>
            </w:r>
          </w:p>
        </w:tc>
        <w:tc>
          <w:tcPr>
            <w:tcW w:w="8674" w:type="dxa"/>
            <w:gridSpan w:val="9"/>
          </w:tcPr>
          <w:p w14:paraId="37EBC8B1">
            <w:pPr>
              <w:pStyle w:val="7"/>
              <w:spacing w:before="78" w:line="201" w:lineRule="auto"/>
              <w:ind w:left="11" w:right="884"/>
              <w:rPr>
                <w:rFonts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本项目选择第6项“</w:t>
            </w:r>
            <w:r>
              <w:rPr>
                <w:rFonts w:hint="eastAsia" w:asciiTheme="minorEastAsia" w:hAnsiTheme="minorEastAsia" w:eastAsiaTheme="minorEastAsia" w:cstheme="minorEastAsia"/>
                <w:sz w:val="21"/>
                <w:szCs w:val="21"/>
                <w:lang w:eastAsia="zh-CN" w:bidi="ar"/>
              </w:rPr>
              <w:t>标本柜</w:t>
            </w:r>
            <w:r>
              <w:rPr>
                <w:rFonts w:hint="eastAsia" w:asciiTheme="minorEastAsia" w:hAnsiTheme="minorEastAsia" w:eastAsiaTheme="minorEastAsia" w:cstheme="minorEastAsia"/>
                <w:sz w:val="21"/>
                <w:szCs w:val="21"/>
                <w:lang w:eastAsia="zh-CN"/>
              </w:rPr>
              <w:t>”作为核心产品。</w:t>
            </w:r>
            <w:r>
              <w:rPr>
                <w:rFonts w:hint="eastAsia" w:asciiTheme="minorEastAsia" w:hAnsiTheme="minorEastAsia" w:eastAsiaTheme="minorEastAsia" w:cstheme="minorEastAsia"/>
                <w:spacing w:val="3"/>
                <w:sz w:val="21"/>
                <w:szCs w:val="21"/>
                <w:lang w:eastAsia="zh-CN"/>
              </w:rPr>
              <w:t xml:space="preserve"> (仅货物类招标项目需要填写)</w:t>
            </w:r>
          </w:p>
        </w:tc>
      </w:tr>
    </w:tbl>
    <w:p w14:paraId="7CBB4ECA">
      <w:pPr>
        <w:rPr>
          <w:lang w:eastAsia="zh-CN"/>
        </w:rPr>
      </w:pPr>
    </w:p>
    <w:sectPr>
      <w:footerReference r:id="rId3" w:type="default"/>
      <w:pgSz w:w="11910" w:h="16840"/>
      <w:pgMar w:top="1431" w:right="1786" w:bottom="964" w:left="1715" w:header="0" w:footer="82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FFD2C">
    <w:pPr>
      <w:spacing w:line="174" w:lineRule="auto"/>
      <w:rPr>
        <w:rFonts w:ascii="Times New Roman" w:hAnsi="Times New Roman" w:eastAsia="Times New Roman" w:cs="Times New Roman"/>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2F6AB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7F2F6AB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F18991"/>
    <w:multiLevelType w:val="singleLevel"/>
    <w:tmpl w:val="79F1899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compatSetting w:name="compatibilityMode" w:uri="http://schemas.microsoft.com/office/word" w:val="14"/>
  </w:compat>
  <w:rsids>
    <w:rsidRoot w:val="00B34111"/>
    <w:rsid w:val="002534B8"/>
    <w:rsid w:val="00540806"/>
    <w:rsid w:val="006162A1"/>
    <w:rsid w:val="00B34111"/>
    <w:rsid w:val="012917D5"/>
    <w:rsid w:val="06D73FCD"/>
    <w:rsid w:val="08341885"/>
    <w:rsid w:val="087D3A94"/>
    <w:rsid w:val="0E5E0A64"/>
    <w:rsid w:val="144705F8"/>
    <w:rsid w:val="14D7452C"/>
    <w:rsid w:val="25822292"/>
    <w:rsid w:val="25DD15E0"/>
    <w:rsid w:val="280066E0"/>
    <w:rsid w:val="2AC075BA"/>
    <w:rsid w:val="2C29552E"/>
    <w:rsid w:val="2D435A38"/>
    <w:rsid w:val="2DD97383"/>
    <w:rsid w:val="2F3D0B11"/>
    <w:rsid w:val="318D4D85"/>
    <w:rsid w:val="3791400E"/>
    <w:rsid w:val="52734B8D"/>
    <w:rsid w:val="55D3FB1C"/>
    <w:rsid w:val="59F20A8D"/>
    <w:rsid w:val="5CC46711"/>
    <w:rsid w:val="5F3F8CCE"/>
    <w:rsid w:val="66B82097"/>
    <w:rsid w:val="6C11205A"/>
    <w:rsid w:val="6DA93E2C"/>
    <w:rsid w:val="73DC6178"/>
    <w:rsid w:val="7D127C78"/>
    <w:rsid w:val="7FEF0F6F"/>
    <w:rsid w:val="7FF7D80C"/>
    <w:rsid w:val="BECE6428"/>
    <w:rsid w:val="FDE77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3"/>
      <w:szCs w:val="23"/>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3772</Words>
  <Characters>4507</Characters>
  <Lines>32</Lines>
  <Paragraphs>9</Paragraphs>
  <TotalTime>65</TotalTime>
  <ScaleCrop>false</ScaleCrop>
  <LinksUpToDate>false</LinksUpToDate>
  <CharactersWithSpaces>4605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2025-05-28T21:15:00Z</dcterms:created>
  <dc:creator>Data</dc:creator>
  <cp:lastModifiedBy>政德</cp:lastModifiedBy>
  <dcterms:modified xsi:type="dcterms:W3CDTF">2025-10-13T09:06:57Z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2025-05-27T13:16:00Z</vt:filetime>
  </property>
  <property fmtid="{D5CDD505-2E9C-101B-9397-08002B2CF9AE}" pid="4" name="UsrData">
    <vt:lpwstr>68354a8daa48c8001ff3b6c7wl</vt:lpwstr>
  </property>
  <property fmtid="{D5CDD505-2E9C-101B-9397-08002B2CF9AE}" pid="5" name="KSOProductBuildVer">
    <vt:lpwstr>2052-12.1.0.22529</vt:lpwstr>
  </property>
  <property fmtid="{D5CDD505-2E9C-101B-9397-08002B2CF9AE}" pid="6" name="ICV">
    <vt:lpwstr>2C33AD4DA32CADA5C11DEA687FC10ECB_43</vt:lpwstr>
  </property>
  <property fmtid="{D5CDD505-2E9C-101B-9397-08002B2CF9AE}" pid="7" name="KSOTemplateDocerSaveRecord">
    <vt:lpwstr>eyJoZGlkIjoiNDBjYzExZjQxYTZlNDdmNzU5Y2JlZTQxNjkyMDA4MDYiLCJ1c2VySWQiOiIxMjYyMTg3MzU3In0=</vt:lpwstr>
  </property>
</Properties>
</file>