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30041">
      <w:pPr>
        <w:numPr>
          <w:ilvl w:val="0"/>
          <w:numId w:val="0"/>
        </w:numPr>
        <w:spacing w:before="156" w:beforeLines="50" w:after="156" w:afterLines="50" w:line="440" w:lineRule="exact"/>
        <w:ind w:left="210" w:leftChars="0" w:firstLine="803" w:firstLineChars="200"/>
        <w:jc w:val="center"/>
        <w:rPr>
          <w:rFonts w:hint="eastAsia" w:ascii="仿宋" w:hAnsi="仿宋" w:eastAsia="仿宋" w:cs="仿宋"/>
          <w:b/>
          <w:bCs/>
          <w:color w:val="auto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auto"/>
          <w:sz w:val="40"/>
          <w:szCs w:val="40"/>
        </w:rPr>
        <w:t>商务要求</w:t>
      </w:r>
    </w:p>
    <w:tbl>
      <w:tblPr>
        <w:tblStyle w:val="10"/>
        <w:tblW w:w="9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1417"/>
        <w:gridCol w:w="1039"/>
        <w:gridCol w:w="5887"/>
      </w:tblGrid>
      <w:tr w14:paraId="13E43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47" w:type="dxa"/>
            <w:noWrap w:val="0"/>
            <w:vAlign w:val="center"/>
          </w:tcPr>
          <w:p w14:paraId="6EA89D89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auto"/>
                <w:sz w:val="24"/>
                <w:lang w:val="zh-CN"/>
              </w:rPr>
              <w:t>序号</w:t>
            </w:r>
          </w:p>
        </w:tc>
        <w:tc>
          <w:tcPr>
            <w:tcW w:w="1417" w:type="dxa"/>
            <w:noWrap w:val="0"/>
            <w:vAlign w:val="center"/>
          </w:tcPr>
          <w:p w14:paraId="26109284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auto"/>
                <w:sz w:val="24"/>
                <w:lang w:val="zh-CN"/>
              </w:rPr>
              <w:t>指标项</w:t>
            </w:r>
          </w:p>
        </w:tc>
        <w:tc>
          <w:tcPr>
            <w:tcW w:w="1039" w:type="dxa"/>
            <w:noWrap w:val="0"/>
            <w:vAlign w:val="center"/>
          </w:tcPr>
          <w:p w14:paraId="24463D03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auto"/>
                <w:sz w:val="24"/>
                <w:lang w:val="zh-CN"/>
              </w:rPr>
              <w:t>重要性</w:t>
            </w:r>
          </w:p>
        </w:tc>
        <w:tc>
          <w:tcPr>
            <w:tcW w:w="5887" w:type="dxa"/>
            <w:noWrap w:val="0"/>
            <w:vAlign w:val="center"/>
          </w:tcPr>
          <w:p w14:paraId="6C69870C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auto"/>
                <w:sz w:val="24"/>
                <w:lang w:val="zh-CN"/>
              </w:rPr>
              <w:t>指标要求</w:t>
            </w:r>
          </w:p>
        </w:tc>
      </w:tr>
      <w:tr w14:paraId="09CE3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47" w:type="dxa"/>
            <w:noWrap w:val="0"/>
            <w:vAlign w:val="center"/>
          </w:tcPr>
          <w:p w14:paraId="23B02AE2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1</w:t>
            </w:r>
          </w:p>
        </w:tc>
        <w:tc>
          <w:tcPr>
            <w:tcW w:w="1417" w:type="dxa"/>
            <w:noWrap w:val="0"/>
            <w:vAlign w:val="center"/>
          </w:tcPr>
          <w:p w14:paraId="7EEFDE23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交货期</w:t>
            </w:r>
          </w:p>
        </w:tc>
        <w:tc>
          <w:tcPr>
            <w:tcW w:w="1039" w:type="dxa"/>
            <w:noWrap w:val="0"/>
            <w:vAlign w:val="center"/>
          </w:tcPr>
          <w:p w14:paraId="277AA6AD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  <w:t>★</w:t>
            </w:r>
          </w:p>
        </w:tc>
        <w:tc>
          <w:tcPr>
            <w:tcW w:w="5887" w:type="dxa"/>
            <w:noWrap w:val="0"/>
            <w:vAlign w:val="center"/>
          </w:tcPr>
          <w:p w14:paraId="2508D79B">
            <w:pPr>
              <w:widowControl/>
              <w:wordWrap w:val="0"/>
              <w:autoSpaceDE w:val="0"/>
              <w:autoSpaceDN w:val="0"/>
              <w:spacing w:line="360" w:lineRule="auto"/>
              <w:jc w:val="left"/>
              <w:rPr>
                <w:rFonts w:hint="eastAsia" w:ascii="仿宋" w:hAnsi="仿宋" w:eastAsia="仿宋" w:cs="仿宋"/>
                <w:snapToGrid w:val="0"/>
                <w:color w:val="auto"/>
                <w:sz w:val="24"/>
                <w:highlight w:val="none"/>
                <w:lang w:val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highlight w:val="none"/>
                <w:lang w:val="zh-CN" w:eastAsia="zh-CN"/>
              </w:rPr>
              <w:t>合同签订后至2025年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highlight w:val="none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highlight w:val="none"/>
                <w:lang w:val="zh-CN" w:eastAsia="zh-CN"/>
              </w:rPr>
              <w:t>月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highlight w:val="none"/>
                <w:lang w:val="zh-CN" w:eastAsia="zh-CN"/>
              </w:rPr>
              <w:t>日前完成交付安装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highlight w:val="none"/>
                <w:lang w:val="zh-CN"/>
              </w:rPr>
              <w:t>。</w:t>
            </w:r>
          </w:p>
        </w:tc>
      </w:tr>
      <w:tr w14:paraId="3518E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47" w:type="dxa"/>
            <w:noWrap w:val="0"/>
            <w:vAlign w:val="center"/>
          </w:tcPr>
          <w:p w14:paraId="5CE10B00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2</w:t>
            </w:r>
          </w:p>
        </w:tc>
        <w:tc>
          <w:tcPr>
            <w:tcW w:w="1417" w:type="dxa"/>
            <w:noWrap w:val="0"/>
            <w:vAlign w:val="center"/>
          </w:tcPr>
          <w:p w14:paraId="56422255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交货地点</w:t>
            </w:r>
          </w:p>
        </w:tc>
        <w:tc>
          <w:tcPr>
            <w:tcW w:w="1039" w:type="dxa"/>
            <w:noWrap w:val="0"/>
            <w:vAlign w:val="center"/>
          </w:tcPr>
          <w:p w14:paraId="2C333BAD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  <w:t>★</w:t>
            </w:r>
          </w:p>
        </w:tc>
        <w:tc>
          <w:tcPr>
            <w:tcW w:w="5887" w:type="dxa"/>
            <w:noWrap w:val="0"/>
            <w:vAlign w:val="center"/>
          </w:tcPr>
          <w:p w14:paraId="5EE0D69B">
            <w:pPr>
              <w:widowControl/>
              <w:wordWrap w:val="0"/>
              <w:autoSpaceDE w:val="0"/>
              <w:autoSpaceDN w:val="0"/>
              <w:spacing w:line="360" w:lineRule="auto"/>
              <w:jc w:val="left"/>
              <w:rPr>
                <w:rFonts w:hint="eastAsia" w:ascii="仿宋" w:hAnsi="仿宋" w:eastAsia="仿宋" w:cs="仿宋"/>
                <w:i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中南财经政法大学指定地点（环湖六栋地下一层）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；</w:t>
            </w:r>
          </w:p>
        </w:tc>
      </w:tr>
      <w:tr w14:paraId="38F27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47" w:type="dxa"/>
            <w:noWrap w:val="0"/>
            <w:vAlign w:val="center"/>
          </w:tcPr>
          <w:p w14:paraId="5EEF7D5E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3</w:t>
            </w:r>
          </w:p>
        </w:tc>
        <w:tc>
          <w:tcPr>
            <w:tcW w:w="1417" w:type="dxa"/>
            <w:noWrap w:val="0"/>
            <w:vAlign w:val="center"/>
          </w:tcPr>
          <w:p w14:paraId="0DEFCC98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质保期</w:t>
            </w:r>
          </w:p>
        </w:tc>
        <w:tc>
          <w:tcPr>
            <w:tcW w:w="1039" w:type="dxa"/>
            <w:noWrap w:val="0"/>
            <w:vAlign w:val="center"/>
          </w:tcPr>
          <w:p w14:paraId="198C960D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  <w:t>★</w:t>
            </w:r>
          </w:p>
        </w:tc>
        <w:tc>
          <w:tcPr>
            <w:tcW w:w="5887" w:type="dxa"/>
            <w:noWrap w:val="0"/>
            <w:vAlign w:val="center"/>
          </w:tcPr>
          <w:p w14:paraId="7D843E4F">
            <w:pPr>
              <w:widowControl/>
              <w:wordWrap w:val="0"/>
              <w:autoSpaceDE w:val="0"/>
              <w:autoSpaceDN w:val="0"/>
              <w:spacing w:line="360" w:lineRule="auto"/>
              <w:jc w:val="left"/>
              <w:rPr>
                <w:rFonts w:hint="eastAsia" w:ascii="仿宋" w:hAnsi="仿宋" w:eastAsia="仿宋" w:cs="仿宋"/>
                <w:i/>
                <w:snapToGrid w:val="0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所有产品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zh-CN"/>
              </w:rPr>
              <w:t>自验收合格后开始计算至少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zh-CN"/>
              </w:rPr>
              <w:t>年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。</w:t>
            </w:r>
          </w:p>
        </w:tc>
      </w:tr>
      <w:tr w14:paraId="6F092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47" w:type="dxa"/>
            <w:noWrap w:val="0"/>
            <w:vAlign w:val="center"/>
          </w:tcPr>
          <w:p w14:paraId="07EF106A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4</w:t>
            </w:r>
          </w:p>
        </w:tc>
        <w:tc>
          <w:tcPr>
            <w:tcW w:w="1417" w:type="dxa"/>
            <w:noWrap w:val="0"/>
            <w:vAlign w:val="center"/>
          </w:tcPr>
          <w:p w14:paraId="4C727646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包装和运输</w:t>
            </w:r>
          </w:p>
        </w:tc>
        <w:tc>
          <w:tcPr>
            <w:tcW w:w="1039" w:type="dxa"/>
            <w:noWrap w:val="0"/>
            <w:vAlign w:val="center"/>
          </w:tcPr>
          <w:p w14:paraId="54FF828A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  <w:t>★</w:t>
            </w:r>
          </w:p>
          <w:p w14:paraId="30A4D39F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</w:p>
        </w:tc>
        <w:tc>
          <w:tcPr>
            <w:tcW w:w="5887" w:type="dxa"/>
            <w:noWrap w:val="0"/>
            <w:vAlign w:val="center"/>
          </w:tcPr>
          <w:p w14:paraId="4D4B62E7">
            <w:pPr>
              <w:widowControl/>
              <w:wordWrap w:val="0"/>
              <w:autoSpaceDE w:val="0"/>
              <w:autoSpaceDN w:val="0"/>
              <w:spacing w:line="360" w:lineRule="auto"/>
              <w:jc w:val="left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投标人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应提供货物运至合同规定的最终目的地所需要的包装，以防止货物在转运中损坏或变质。这类包装应采取防潮、防晒、防锈、防腐蚀、防震动及防止其他损坏的必要措施，从而保证货物能够经受多次搬运、装卸及长途运输。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投标人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应承担由于其包装或其防护措施不妥而引起货物锈蚀、损坏和丢失的任何损失的责任或费用。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投标人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负责合同项下货物的运输，并承担运费。</w:t>
            </w:r>
          </w:p>
          <w:p w14:paraId="4E49373C">
            <w:pPr>
              <w:widowControl/>
              <w:wordWrap w:val="0"/>
              <w:autoSpaceDE w:val="0"/>
              <w:autoSpaceDN w:val="0"/>
              <w:spacing w:line="360" w:lineRule="auto"/>
              <w:jc w:val="left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商品包装或快递包装（如有）需执行财政部“关于印发《商品包装政府采购需求标准（试行）》、《快递包装政府采购需求标准（试行）》的通知”的相关要求。</w:t>
            </w:r>
          </w:p>
        </w:tc>
      </w:tr>
      <w:tr w14:paraId="51470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47" w:type="dxa"/>
            <w:noWrap w:val="0"/>
            <w:vAlign w:val="center"/>
          </w:tcPr>
          <w:p w14:paraId="2AD60B1D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5</w:t>
            </w:r>
          </w:p>
        </w:tc>
        <w:tc>
          <w:tcPr>
            <w:tcW w:w="1417" w:type="dxa"/>
            <w:noWrap w:val="0"/>
            <w:vAlign w:val="center"/>
          </w:tcPr>
          <w:p w14:paraId="4D3CB084"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服务标准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/</w:t>
            </w:r>
          </w:p>
          <w:p w14:paraId="0EF4FC02"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售后服务要求</w:t>
            </w:r>
          </w:p>
        </w:tc>
        <w:tc>
          <w:tcPr>
            <w:tcW w:w="1039" w:type="dxa"/>
            <w:noWrap w:val="0"/>
            <w:vAlign w:val="center"/>
          </w:tcPr>
          <w:p w14:paraId="76E02DDC">
            <w:pPr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</w:p>
        </w:tc>
        <w:tc>
          <w:tcPr>
            <w:tcW w:w="5887" w:type="dxa"/>
            <w:noWrap w:val="0"/>
            <w:vAlign w:val="center"/>
          </w:tcPr>
          <w:p w14:paraId="219AD39B"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所有产品质保期内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zh-CN"/>
              </w:rPr>
              <w:t>保修，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相关费用包含在本项目报价内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zh-CN"/>
              </w:rPr>
              <w:t>。在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质保期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zh-CN"/>
              </w:rPr>
              <w:t>内，凡属设备质量缺陷或因此造成的问题，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投标人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zh-CN"/>
              </w:rPr>
              <w:t>必须在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招标人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zh-CN"/>
              </w:rPr>
              <w:t>规定的时间内进行解决或更换，且承担由此给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招标人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zh-CN"/>
              </w:rPr>
              <w:t>造成的相关损失；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质保期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zh-CN"/>
              </w:rPr>
              <w:t>内，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投标人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zh-CN"/>
              </w:rPr>
              <w:t>接到维修电话后2小时内给予明确答复，8小时内到达现场维修。维修人员到现场后若问题特殊无法现场修复的，在24小时内给出合理解决方案，所发生费用及相应责任由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投标人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zh-CN"/>
              </w:rPr>
              <w:t>承担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zh-CN"/>
              </w:rPr>
              <w:t>无法解决的将提供备品备件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。</w:t>
            </w:r>
          </w:p>
          <w:p w14:paraId="07078BAA">
            <w:pPr>
              <w:spacing w:line="360" w:lineRule="auto"/>
              <w:jc w:val="left"/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质保期后，投标人应当提供上门维修服务，仅收取成本费。</w:t>
            </w:r>
          </w:p>
        </w:tc>
      </w:tr>
      <w:tr w14:paraId="465F8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47" w:type="dxa"/>
            <w:noWrap w:val="0"/>
            <w:vAlign w:val="center"/>
          </w:tcPr>
          <w:p w14:paraId="2D5AA960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6</w:t>
            </w:r>
          </w:p>
        </w:tc>
        <w:tc>
          <w:tcPr>
            <w:tcW w:w="1417" w:type="dxa"/>
            <w:noWrap w:val="0"/>
            <w:vAlign w:val="center"/>
          </w:tcPr>
          <w:p w14:paraId="01DA8D26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安装调试</w:t>
            </w:r>
          </w:p>
        </w:tc>
        <w:tc>
          <w:tcPr>
            <w:tcW w:w="1039" w:type="dxa"/>
            <w:noWrap w:val="0"/>
            <w:vAlign w:val="center"/>
          </w:tcPr>
          <w:p w14:paraId="025F1013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</w:p>
        </w:tc>
        <w:tc>
          <w:tcPr>
            <w:tcW w:w="5887" w:type="dxa"/>
            <w:noWrap w:val="0"/>
            <w:vAlign w:val="center"/>
          </w:tcPr>
          <w:p w14:paraId="556DC919">
            <w:pPr>
              <w:widowControl/>
              <w:wordWrap w:val="0"/>
              <w:autoSpaceDE w:val="0"/>
              <w:autoSpaceDN w:val="0"/>
              <w:spacing w:line="360" w:lineRule="auto"/>
              <w:jc w:val="left"/>
              <w:rPr>
                <w:rFonts w:hint="eastAsia" w:ascii="仿宋" w:hAnsi="仿宋" w:eastAsia="仿宋" w:cs="仿宋"/>
                <w:i/>
                <w:snapToGrid w:val="0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iCs/>
                <w:snapToGrid w:val="0"/>
                <w:color w:val="auto"/>
                <w:sz w:val="24"/>
                <w:highlight w:val="none"/>
                <w:lang w:val="en-US" w:eastAsia="zh-CN"/>
              </w:rPr>
              <w:t>中标人需提供所有设备含LED屏、</w:t>
            </w:r>
            <w:r>
              <w:rPr>
                <w:rFonts w:hint="eastAsia" w:ascii="仿宋" w:hAnsi="仿宋" w:eastAsia="仿宋" w:cs="仿宋"/>
                <w:i w:val="0"/>
                <w:iCs/>
                <w:snapToGrid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86英寸智慧黑板、100英寸商业显示器、投影机、幕布等</w:t>
            </w:r>
            <w:r>
              <w:rPr>
                <w:rFonts w:hint="eastAsia" w:ascii="仿宋" w:hAnsi="仿宋" w:eastAsia="仿宋" w:cs="仿宋"/>
                <w:iCs/>
                <w:snapToGrid w:val="0"/>
                <w:color w:val="auto"/>
                <w:sz w:val="24"/>
                <w:highlight w:val="none"/>
                <w:lang w:val="en-US" w:eastAsia="zh-CN"/>
              </w:rPr>
              <w:t>弱电和强电布线、接线、安装调试以及与现场其他设备联调工作。</w:t>
            </w:r>
            <w:r>
              <w:rPr>
                <w:rFonts w:hint="eastAsia" w:ascii="仿宋" w:hAnsi="仿宋" w:eastAsia="仿宋" w:cs="仿宋"/>
                <w:iCs/>
                <w:snapToGrid w:val="0"/>
                <w:color w:val="auto"/>
                <w:sz w:val="24"/>
                <w:highlight w:val="none"/>
                <w:lang w:val="zh-CN"/>
              </w:rPr>
              <w:t>安</w:t>
            </w:r>
            <w:r>
              <w:rPr>
                <w:rFonts w:hint="eastAsia" w:ascii="仿宋" w:hAnsi="仿宋" w:eastAsia="仿宋" w:cs="仿宋"/>
                <w:iCs/>
                <w:snapToGrid w:val="0"/>
                <w:color w:val="auto"/>
                <w:sz w:val="24"/>
                <w:lang w:val="zh-CN"/>
              </w:rPr>
              <w:t>装和调试过程中需要的专用器具和其他物资由中标人负责，招标人负责相应的现场协调等方面的协调配合工作。安装与调试所产生费用由中标人承担</w:t>
            </w:r>
            <w:r>
              <w:rPr>
                <w:rFonts w:hint="eastAsia" w:ascii="仿宋" w:hAnsi="仿宋" w:eastAsia="仿宋" w:cs="仿宋"/>
                <w:iCs/>
                <w:snapToGrid w:val="0"/>
                <w:color w:val="auto"/>
                <w:sz w:val="24"/>
              </w:rPr>
              <w:t>。</w:t>
            </w:r>
          </w:p>
        </w:tc>
      </w:tr>
      <w:tr w14:paraId="48487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47" w:type="dxa"/>
            <w:noWrap w:val="0"/>
            <w:vAlign w:val="center"/>
          </w:tcPr>
          <w:p w14:paraId="4F04B022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7</w:t>
            </w:r>
          </w:p>
        </w:tc>
        <w:tc>
          <w:tcPr>
            <w:tcW w:w="1417" w:type="dxa"/>
            <w:noWrap w:val="0"/>
            <w:vAlign w:val="center"/>
          </w:tcPr>
          <w:p w14:paraId="0A6D41CC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培训要求</w:t>
            </w:r>
          </w:p>
        </w:tc>
        <w:tc>
          <w:tcPr>
            <w:tcW w:w="1039" w:type="dxa"/>
            <w:noWrap w:val="0"/>
            <w:vAlign w:val="center"/>
          </w:tcPr>
          <w:p w14:paraId="2D191F90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</w:p>
        </w:tc>
        <w:tc>
          <w:tcPr>
            <w:tcW w:w="5887" w:type="dxa"/>
            <w:noWrap w:val="0"/>
            <w:vAlign w:val="center"/>
          </w:tcPr>
          <w:p w14:paraId="63D60760">
            <w:pPr>
              <w:widowControl/>
              <w:wordWrap w:val="0"/>
              <w:autoSpaceDE w:val="0"/>
              <w:autoSpaceDN w:val="0"/>
              <w:spacing w:line="360" w:lineRule="auto"/>
              <w:jc w:val="left"/>
              <w:rPr>
                <w:rFonts w:hint="eastAsia" w:ascii="仿宋" w:hAnsi="仿宋" w:eastAsia="仿宋" w:cs="仿宋"/>
                <w:i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iCs/>
                <w:snapToGrid w:val="0"/>
                <w:color w:val="auto"/>
                <w:sz w:val="24"/>
                <w:lang w:val="zh-CN"/>
              </w:rPr>
              <w:t>提供不少于</w:t>
            </w:r>
            <w:r>
              <w:rPr>
                <w:rFonts w:hint="eastAsia" w:ascii="仿宋" w:hAnsi="仿宋" w:eastAsia="仿宋" w:cs="仿宋"/>
                <w:iCs/>
                <w:snapToGrid w:val="0"/>
                <w:color w:val="auto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iCs/>
                <w:snapToGrid w:val="0"/>
                <w:color w:val="auto"/>
                <w:sz w:val="24"/>
                <w:lang w:val="zh-CN"/>
              </w:rPr>
              <w:t>天不少于</w:t>
            </w:r>
            <w:r>
              <w:rPr>
                <w:rFonts w:hint="eastAsia" w:ascii="仿宋" w:hAnsi="仿宋" w:eastAsia="仿宋" w:cs="仿宋"/>
                <w:iCs/>
                <w:snapToGrid w:val="0"/>
                <w:color w:val="auto"/>
                <w:sz w:val="24"/>
              </w:rPr>
              <w:t>5</w:t>
            </w:r>
            <w:r>
              <w:rPr>
                <w:rFonts w:hint="eastAsia" w:ascii="仿宋" w:hAnsi="仿宋" w:eastAsia="仿宋" w:cs="仿宋"/>
                <w:iCs/>
                <w:snapToGrid w:val="0"/>
                <w:color w:val="auto"/>
                <w:sz w:val="24"/>
                <w:lang w:val="zh-CN"/>
              </w:rPr>
              <w:t>人的</w:t>
            </w:r>
            <w:r>
              <w:rPr>
                <w:rFonts w:hint="eastAsia" w:ascii="仿宋" w:hAnsi="仿宋" w:eastAsia="仿宋" w:cs="仿宋"/>
                <w:iCs/>
                <w:snapToGrid w:val="0"/>
                <w:color w:val="auto"/>
                <w:sz w:val="24"/>
              </w:rPr>
              <w:t>相关产品</w:t>
            </w:r>
            <w:r>
              <w:rPr>
                <w:rFonts w:hint="eastAsia" w:ascii="仿宋" w:hAnsi="仿宋" w:eastAsia="仿宋" w:cs="仿宋"/>
                <w:iCs/>
                <w:snapToGrid w:val="0"/>
                <w:color w:val="auto"/>
                <w:sz w:val="24"/>
                <w:lang w:val="zh-CN"/>
              </w:rPr>
              <w:t>实施培训、工作流程和操作培训以及</w:t>
            </w:r>
            <w:r>
              <w:rPr>
                <w:rFonts w:hint="eastAsia" w:ascii="仿宋" w:hAnsi="仿宋" w:eastAsia="仿宋" w:cs="仿宋"/>
                <w:iCs/>
                <w:snapToGrid w:val="0"/>
                <w:color w:val="auto"/>
                <w:sz w:val="24"/>
              </w:rPr>
              <w:t>产品</w:t>
            </w:r>
            <w:r>
              <w:rPr>
                <w:rFonts w:hint="eastAsia" w:ascii="仿宋" w:hAnsi="仿宋" w:eastAsia="仿宋" w:cs="仿宋"/>
                <w:iCs/>
                <w:snapToGrid w:val="0"/>
                <w:color w:val="auto"/>
                <w:sz w:val="24"/>
                <w:lang w:val="zh-CN"/>
              </w:rPr>
              <w:t>运行基本维护培训等，场地、交通等与培训相关的费用均由投标人承担。</w:t>
            </w:r>
          </w:p>
        </w:tc>
      </w:tr>
      <w:tr w14:paraId="6559D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47" w:type="dxa"/>
            <w:noWrap w:val="0"/>
            <w:vAlign w:val="center"/>
          </w:tcPr>
          <w:p w14:paraId="54590D59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8</w:t>
            </w:r>
          </w:p>
        </w:tc>
        <w:tc>
          <w:tcPr>
            <w:tcW w:w="1417" w:type="dxa"/>
            <w:noWrap w:val="0"/>
            <w:vAlign w:val="center"/>
          </w:tcPr>
          <w:p w14:paraId="385667F6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验收标准</w:t>
            </w:r>
          </w:p>
        </w:tc>
        <w:tc>
          <w:tcPr>
            <w:tcW w:w="1039" w:type="dxa"/>
            <w:noWrap w:val="0"/>
            <w:vAlign w:val="center"/>
          </w:tcPr>
          <w:p w14:paraId="25A46EA4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  <w:t>★</w:t>
            </w:r>
          </w:p>
        </w:tc>
        <w:tc>
          <w:tcPr>
            <w:tcW w:w="5887" w:type="dxa"/>
            <w:noWrap w:val="0"/>
            <w:vAlign w:val="top"/>
          </w:tcPr>
          <w:p w14:paraId="3384B32C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货物安装完成正常运行15天后，由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中标人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提出验收申请，项目责任单位同意后，组织验收。</w:t>
            </w:r>
          </w:p>
          <w:p w14:paraId="2A08C0E0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方式：现场检验</w:t>
            </w:r>
          </w:p>
          <w:p w14:paraId="3FE9C5B1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程序：已具验收条件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→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供货商提出验收申请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→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组织成立验收小组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→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组织验收。</w:t>
            </w:r>
          </w:p>
          <w:p w14:paraId="61098F98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内容;所供设备须为全新的、未使用过的原装正品，成交供应商所提供的货物在验收时，须提供有关货物的操作规程和使用说明书，维护手册、保养修理所需的各种随机工具等。所供货物是否满足招标文件技术和商务要求。产品外观检测：外观是否完好、损坏、变形、其它检验是否视为合格。功能检测：产品功能是否符合要求、系统运行时是否流畅、其它检验是否视为合格。符合国家相关标准及采购方使用标准。</w:t>
            </w:r>
          </w:p>
          <w:p w14:paraId="2B3DA9A0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en-US" w:eastAsia="zh-CN"/>
              </w:rPr>
              <w:t>在验收环节，招标人有权要求专业的第三方机构对产品进行验收，对重点产品的相关质量要求进行检测，相应费用由投标人承担。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如验收达不到规定要求，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招标人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有权要求更换货物或拒绝付款，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中标人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若违约，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招标人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将依法追究相应法律责任。</w:t>
            </w:r>
          </w:p>
        </w:tc>
      </w:tr>
      <w:tr w14:paraId="1E617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47" w:type="dxa"/>
            <w:noWrap w:val="0"/>
            <w:vAlign w:val="center"/>
          </w:tcPr>
          <w:p w14:paraId="5CB61352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9</w:t>
            </w:r>
          </w:p>
        </w:tc>
        <w:tc>
          <w:tcPr>
            <w:tcW w:w="1417" w:type="dxa"/>
            <w:noWrap w:val="0"/>
            <w:vAlign w:val="center"/>
          </w:tcPr>
          <w:p w14:paraId="34442C59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zh-CN"/>
              </w:rPr>
              <w:t>付款方式</w:t>
            </w:r>
          </w:p>
        </w:tc>
        <w:tc>
          <w:tcPr>
            <w:tcW w:w="1039" w:type="dxa"/>
            <w:noWrap w:val="0"/>
            <w:vAlign w:val="center"/>
          </w:tcPr>
          <w:p w14:paraId="58EB566A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highlight w:val="none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  <w:t>★</w:t>
            </w:r>
          </w:p>
        </w:tc>
        <w:tc>
          <w:tcPr>
            <w:tcW w:w="5887" w:type="dxa"/>
            <w:noWrap w:val="0"/>
            <w:vAlign w:val="center"/>
          </w:tcPr>
          <w:p w14:paraId="150846AA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合同签订时，中标人向招标人指定账户支付合同总价款的5%作为履约保证金，本项目设置共管账户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,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合同范围内的所有付款，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招标人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统一支付给指定的银行账户，相关要求和账户信息如下：</w:t>
            </w:r>
          </w:p>
          <w:p w14:paraId="1641F3E4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中标人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应设立一个和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招标人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共管的服务于本项目的银行账户，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招标人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向该共管账户拨付的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款项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，由共管账户转出时必须经过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招标人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批准(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中标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人需提供付款用途的相应资料)后方可支付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到货开箱验收合格后，招标人支付合同总价的70%，项目建设完成，验收合格后，中标人开具符合招标人要求的发票，支付剩余30%余款。质保期满后由中标人向招标人发出履约保证金返还申请，校方收到申请后一次性付清（履约保证金不计利息）。</w:t>
            </w:r>
          </w:p>
          <w:p w14:paraId="341052EF">
            <w:pPr>
              <w:widowControl/>
              <w:wordWrap w:val="0"/>
              <w:autoSpaceDE w:val="0"/>
              <w:autoSpaceDN w:val="0"/>
              <w:spacing w:line="360" w:lineRule="auto"/>
              <w:jc w:val="left"/>
              <w:rPr>
                <w:rFonts w:hint="eastAsia" w:ascii="仿宋" w:hAnsi="仿宋" w:eastAsia="仿宋" w:cs="仿宋"/>
                <w:snapToGrid w:val="0"/>
                <w:color w:val="auto"/>
                <w:sz w:val="24"/>
                <w:highlight w:val="none"/>
                <w:lang w:val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zh-CN"/>
              </w:rPr>
              <w:t>若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中标人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zh-CN"/>
              </w:rPr>
              <w:t>为中小企业，将落实《保障中小企业款项支付条例》。</w:t>
            </w:r>
          </w:p>
        </w:tc>
      </w:tr>
      <w:tr w14:paraId="15305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47" w:type="dxa"/>
            <w:noWrap w:val="0"/>
            <w:vAlign w:val="center"/>
          </w:tcPr>
          <w:p w14:paraId="552A2C29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仿宋"/>
                <w:snapToGrid w:val="0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10</w:t>
            </w:r>
          </w:p>
        </w:tc>
        <w:tc>
          <w:tcPr>
            <w:tcW w:w="1417" w:type="dxa"/>
            <w:noWrap w:val="0"/>
            <w:vAlign w:val="center"/>
          </w:tcPr>
          <w:p w14:paraId="4FA4D7A5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</w:rPr>
              <w:t>保险</w:t>
            </w:r>
          </w:p>
        </w:tc>
        <w:tc>
          <w:tcPr>
            <w:tcW w:w="1039" w:type="dxa"/>
            <w:noWrap w:val="0"/>
            <w:vAlign w:val="center"/>
          </w:tcPr>
          <w:p w14:paraId="73D78E09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</w:pPr>
          </w:p>
        </w:tc>
        <w:tc>
          <w:tcPr>
            <w:tcW w:w="5887" w:type="dxa"/>
            <w:noWrap w:val="0"/>
            <w:vAlign w:val="center"/>
          </w:tcPr>
          <w:p w14:paraId="04B99C89">
            <w:pPr>
              <w:widowControl/>
              <w:wordWrap w:val="0"/>
              <w:autoSpaceDE w:val="0"/>
              <w:autoSpaceDN w:val="0"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投标人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zh-CN"/>
              </w:rPr>
              <w:t>应承担合同项下货物相关的保险费用。</w:t>
            </w:r>
          </w:p>
        </w:tc>
      </w:tr>
      <w:tr w14:paraId="27D6C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47" w:type="dxa"/>
            <w:noWrap w:val="0"/>
            <w:vAlign w:val="center"/>
          </w:tcPr>
          <w:p w14:paraId="7C67C4B3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lang w:val="en-US" w:eastAsia="zh-CN"/>
              </w:rPr>
              <w:t>11</w:t>
            </w:r>
          </w:p>
        </w:tc>
        <w:tc>
          <w:tcPr>
            <w:tcW w:w="1417" w:type="dxa"/>
            <w:noWrap w:val="0"/>
            <w:vAlign w:val="center"/>
          </w:tcPr>
          <w:p w14:paraId="7C40917A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highlight w:val="none"/>
                <w:lang w:val="en-US" w:eastAsia="zh-CN"/>
              </w:rPr>
              <w:t>其他要求</w:t>
            </w:r>
          </w:p>
        </w:tc>
        <w:tc>
          <w:tcPr>
            <w:tcW w:w="1039" w:type="dxa"/>
            <w:noWrap w:val="0"/>
            <w:vAlign w:val="center"/>
          </w:tcPr>
          <w:p w14:paraId="3EC4BFB0">
            <w:pPr>
              <w:widowControl/>
              <w:wordWrap w:val="0"/>
              <w:autoSpaceDE w:val="0"/>
              <w:autoSpaceDN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  <w:t>★</w:t>
            </w:r>
          </w:p>
        </w:tc>
        <w:tc>
          <w:tcPr>
            <w:tcW w:w="5887" w:type="dxa"/>
            <w:noWrap w:val="0"/>
            <w:vAlign w:val="center"/>
          </w:tcPr>
          <w:p w14:paraId="6A697612">
            <w:pPr>
              <w:widowControl/>
              <w:wordWrap w:val="0"/>
              <w:autoSpaceDE w:val="0"/>
              <w:autoSpaceDN w:val="0"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</w:rPr>
              <w:t>投标人应结合本项目的采购需求提供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整体实施方案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</w:rPr>
              <w:t>。投标人对所投产品需配备足够的备品备件及相关售后服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</w:rPr>
              <w:t>务方案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kern w:val="21"/>
                <w:sz w:val="24"/>
                <w:szCs w:val="24"/>
                <w:highlight w:val="none"/>
              </w:rPr>
              <w:t>培训方案</w:t>
            </w:r>
            <w:r>
              <w:rPr>
                <w:rFonts w:hint="eastAsia" w:ascii="仿宋" w:hAnsi="仿宋" w:eastAsia="仿宋" w:cs="仿宋"/>
                <w:color w:val="auto"/>
                <w:kern w:val="21"/>
                <w:sz w:val="24"/>
                <w:szCs w:val="24"/>
                <w:highlight w:val="none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</w:rPr>
              <w:t>应急处理措施及方案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</w:rPr>
              <w:t>，质保期后招标人会结合产品实际情况对相关产品进行例行维护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。</w:t>
            </w:r>
          </w:p>
          <w:p w14:paraId="06DA37B6">
            <w:pPr>
              <w:widowControl/>
              <w:wordWrap w:val="0"/>
              <w:autoSpaceDE w:val="0"/>
              <w:autoSpaceDN w:val="0"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针对以下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产品（室内LED全彩显示屏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i w:val="0"/>
                <w:iCs/>
                <w:snapToGrid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86英寸智慧黑板、100英寸商业显示器、投影机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提供相关产品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制造商针对项目的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3年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售后服务承诺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函。</w:t>
            </w:r>
          </w:p>
        </w:tc>
      </w:tr>
    </w:tbl>
    <w:p w14:paraId="45A3BB80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444D4D05">
      <w:pPr>
        <w:numPr>
          <w:ilvl w:val="-1"/>
          <w:numId w:val="0"/>
        </w:numPr>
        <w:spacing w:line="360" w:lineRule="auto"/>
        <w:rPr>
          <w:rFonts w:hint="eastAsia" w:ascii="仿宋" w:hAnsi="仿宋" w:eastAsia="仿宋" w:cs="仿宋"/>
          <w:color w:val="auto"/>
          <w:sz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highlight w:val="none"/>
          <w:lang w:val="en-US" w:eastAsia="zh-CN"/>
        </w:rPr>
        <w:t>注意：</w:t>
      </w:r>
    </w:p>
    <w:p w14:paraId="7CBE153A">
      <w:pPr>
        <w:numPr>
          <w:ilvl w:val="-1"/>
          <w:numId w:val="0"/>
        </w:numPr>
        <w:spacing w:line="360" w:lineRule="auto"/>
        <w:ind w:left="0"/>
        <w:rPr>
          <w:rFonts w:hint="eastAsia" w:ascii="仿宋" w:hAnsi="仿宋" w:eastAsia="仿宋" w:cs="仿宋"/>
          <w:color w:val="auto"/>
          <w:sz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highlight w:val="none"/>
          <w:lang w:val="en-US" w:eastAsia="zh-CN"/>
        </w:rPr>
        <w:t>1.商务要求中标“★”指标，供应商须承诺满足相应商务要求。否则按不满足采购需求处理。</w:t>
      </w:r>
    </w:p>
    <w:p w14:paraId="380C8D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本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次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拟购产品中若有国家对的市场准入有相应的强制性要求，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供应商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所投产品必须满足该强制要求。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供应商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所提供产品必须为原厂原装产品，不得提供贴牌、厂外组装等产品。</w:t>
      </w:r>
    </w:p>
    <w:p w14:paraId="50096E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3.供应商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成交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后，发生侵犯专利权的行为时，其侵权责任与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采购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人无关，应由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供应商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承担相应的责任，并不得影响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采购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人的利益。</w:t>
      </w:r>
    </w:p>
    <w:p w14:paraId="5F3735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4.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本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次采购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所有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成交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产品必须符合国家安全、环保要求，达不到国家相关要求的，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采购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人将无条件退货，且不承担任何违约责任。</w:t>
      </w:r>
    </w:p>
    <w:p w14:paraId="758E39DD">
      <w:pPr>
        <w:pStyle w:val="2"/>
        <w:spacing w:line="500" w:lineRule="exact"/>
        <w:rPr>
          <w:rFonts w:hint="eastAsia" w:asciiTheme="minorEastAsia" w:hAnsiTheme="minorEastAsia" w:eastAsiaTheme="minorEastAsia" w:cstheme="minorEastAsia"/>
          <w:sz w:val="24"/>
          <w:lang w:val="en-US" w:eastAsia="zh-CN"/>
        </w:rPr>
      </w:pPr>
    </w:p>
    <w:p w14:paraId="150F1995">
      <w:pPr>
        <w:numPr>
          <w:ilvl w:val="-1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24F9C6B2">
      <w:pPr>
        <w:numPr>
          <w:ilvl w:val="-1"/>
          <w:numId w:val="0"/>
        </w:numPr>
        <w:ind w:left="0"/>
        <w:rPr>
          <w:rFonts w:hint="default"/>
          <w:lang w:val="en-US" w:eastAsia="zh-CN"/>
        </w:rPr>
      </w:pPr>
    </w:p>
    <w:p w14:paraId="77D15D38">
      <w:pPr>
        <w:keepNext/>
        <w:keepLines/>
        <w:tabs>
          <w:tab w:val="left" w:pos="0"/>
        </w:tabs>
        <w:autoSpaceDE w:val="0"/>
        <w:autoSpaceDN w:val="0"/>
        <w:adjustRightInd w:val="0"/>
        <w:spacing w:line="360" w:lineRule="auto"/>
        <w:jc w:val="center"/>
        <w:outlineLvl w:val="1"/>
        <w:rPr>
          <w:rFonts w:ascii="仿宋" w:hAnsi="仿宋" w:eastAsia="仿宋" w:cs="宋体"/>
          <w:b/>
          <w:bCs/>
          <w:color w:val="000000"/>
          <w:kern w:val="0"/>
          <w:sz w:val="30"/>
          <w:szCs w:val="21"/>
          <w:highlight w:val="none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0"/>
          <w:szCs w:val="21"/>
          <w:highlight w:val="none"/>
        </w:rPr>
        <w:t>商务条款偏离表</w:t>
      </w:r>
    </w:p>
    <w:p w14:paraId="4B4F67CB">
      <w:pPr>
        <w:spacing w:line="360" w:lineRule="auto"/>
        <w:ind w:left="1080" w:leftChars="257" w:hanging="540"/>
        <w:rPr>
          <w:rFonts w:hint="eastAsia" w:ascii="仿宋_GB2312" w:hAnsi="Courier New" w:eastAsia="仿宋_GB2312"/>
          <w:sz w:val="24"/>
          <w:szCs w:val="20"/>
          <w:highlight w:val="none"/>
        </w:rPr>
      </w:pP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040"/>
        <w:gridCol w:w="2520"/>
        <w:gridCol w:w="2520"/>
        <w:gridCol w:w="900"/>
      </w:tblGrid>
      <w:tr w14:paraId="5ED8C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48" w:type="dxa"/>
            <w:noWrap w:val="0"/>
            <w:vAlign w:val="top"/>
          </w:tcPr>
          <w:p w14:paraId="02F104F6">
            <w:pPr>
              <w:spacing w:line="360" w:lineRule="auto"/>
              <w:jc w:val="center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  <w:t>序号</w:t>
            </w:r>
          </w:p>
        </w:tc>
        <w:tc>
          <w:tcPr>
            <w:tcW w:w="2040" w:type="dxa"/>
            <w:noWrap w:val="0"/>
            <w:vAlign w:val="top"/>
          </w:tcPr>
          <w:p w14:paraId="43F5C8A3">
            <w:pPr>
              <w:spacing w:line="360" w:lineRule="auto"/>
              <w:jc w:val="center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Courier New" w:eastAsia="仿宋_GB2312"/>
                <w:sz w:val="24"/>
                <w:szCs w:val="20"/>
                <w:highlight w:val="none"/>
                <w:lang w:val="en-US" w:eastAsia="zh-CN"/>
              </w:rPr>
              <w:t>采购需求</w:t>
            </w:r>
            <w:r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  <w:t>文件条款号</w:t>
            </w:r>
          </w:p>
        </w:tc>
        <w:tc>
          <w:tcPr>
            <w:tcW w:w="2520" w:type="dxa"/>
            <w:noWrap w:val="0"/>
            <w:vAlign w:val="top"/>
          </w:tcPr>
          <w:p w14:paraId="5E92FC8D">
            <w:pPr>
              <w:spacing w:line="360" w:lineRule="auto"/>
              <w:jc w:val="both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Courier New" w:eastAsia="仿宋_GB2312"/>
                <w:sz w:val="24"/>
                <w:szCs w:val="20"/>
                <w:highlight w:val="none"/>
                <w:lang w:val="en-US" w:eastAsia="zh-CN"/>
              </w:rPr>
              <w:t>采购需求</w:t>
            </w:r>
            <w:r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  <w:t>文件的商务条款</w:t>
            </w:r>
          </w:p>
        </w:tc>
        <w:tc>
          <w:tcPr>
            <w:tcW w:w="2520" w:type="dxa"/>
            <w:noWrap w:val="0"/>
            <w:vAlign w:val="top"/>
          </w:tcPr>
          <w:p w14:paraId="2589CC22">
            <w:pPr>
              <w:spacing w:line="360" w:lineRule="auto"/>
              <w:jc w:val="center"/>
              <w:rPr>
                <w:rFonts w:hint="default" w:ascii="仿宋_GB2312" w:hAnsi="Courier New" w:eastAsia="仿宋_GB2312"/>
                <w:sz w:val="24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Courier New" w:eastAsia="仿宋_GB2312"/>
                <w:sz w:val="24"/>
                <w:szCs w:val="20"/>
                <w:highlight w:val="none"/>
                <w:lang w:val="en-US" w:eastAsia="zh-CN"/>
              </w:rPr>
              <w:t>响应情况</w:t>
            </w:r>
          </w:p>
        </w:tc>
        <w:tc>
          <w:tcPr>
            <w:tcW w:w="900" w:type="dxa"/>
            <w:noWrap w:val="0"/>
            <w:vAlign w:val="top"/>
          </w:tcPr>
          <w:p w14:paraId="19CF5EB6">
            <w:pPr>
              <w:spacing w:line="360" w:lineRule="auto"/>
              <w:jc w:val="center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  <w:t>说明</w:t>
            </w:r>
          </w:p>
        </w:tc>
      </w:tr>
      <w:tr w14:paraId="0021C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48" w:type="dxa"/>
            <w:noWrap w:val="0"/>
            <w:vAlign w:val="top"/>
          </w:tcPr>
          <w:p w14:paraId="0AE66B1B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040" w:type="dxa"/>
            <w:noWrap w:val="0"/>
            <w:vAlign w:val="top"/>
          </w:tcPr>
          <w:p w14:paraId="49A233A2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1DDC0156">
            <w:pPr>
              <w:spacing w:line="360" w:lineRule="auto"/>
              <w:ind w:left="1080" w:leftChars="257" w:hanging="540"/>
              <w:jc w:val="center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3C9577B7">
            <w:pPr>
              <w:spacing w:line="360" w:lineRule="auto"/>
              <w:ind w:left="1080" w:leftChars="257" w:hanging="540"/>
              <w:jc w:val="center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900" w:type="dxa"/>
            <w:noWrap w:val="0"/>
            <w:vAlign w:val="top"/>
          </w:tcPr>
          <w:p w14:paraId="0AC0C5EB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</w:tr>
      <w:tr w14:paraId="44DA0E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48" w:type="dxa"/>
            <w:noWrap w:val="0"/>
            <w:vAlign w:val="top"/>
          </w:tcPr>
          <w:p w14:paraId="5E4571A7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040" w:type="dxa"/>
            <w:noWrap w:val="0"/>
            <w:vAlign w:val="top"/>
          </w:tcPr>
          <w:p w14:paraId="1FDE5841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0DE769BA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4A4A1C75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900" w:type="dxa"/>
            <w:noWrap w:val="0"/>
            <w:vAlign w:val="top"/>
          </w:tcPr>
          <w:p w14:paraId="30F4D617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</w:tr>
      <w:tr w14:paraId="31195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48" w:type="dxa"/>
            <w:noWrap w:val="0"/>
            <w:vAlign w:val="top"/>
          </w:tcPr>
          <w:p w14:paraId="05DA79C2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040" w:type="dxa"/>
            <w:noWrap w:val="0"/>
            <w:vAlign w:val="top"/>
          </w:tcPr>
          <w:p w14:paraId="2E3E48E9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068E0F9B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3BD894A7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900" w:type="dxa"/>
            <w:noWrap w:val="0"/>
            <w:vAlign w:val="top"/>
          </w:tcPr>
          <w:p w14:paraId="40B0F649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</w:tr>
      <w:tr w14:paraId="6DC19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48" w:type="dxa"/>
            <w:noWrap w:val="0"/>
            <w:vAlign w:val="top"/>
          </w:tcPr>
          <w:p w14:paraId="2B6F8A6D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040" w:type="dxa"/>
            <w:noWrap w:val="0"/>
            <w:vAlign w:val="top"/>
          </w:tcPr>
          <w:p w14:paraId="53DE49EC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11137230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3F41D983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900" w:type="dxa"/>
            <w:noWrap w:val="0"/>
            <w:vAlign w:val="top"/>
          </w:tcPr>
          <w:p w14:paraId="5C38A13B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</w:tr>
      <w:tr w14:paraId="6ED67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48" w:type="dxa"/>
            <w:noWrap w:val="0"/>
            <w:vAlign w:val="top"/>
          </w:tcPr>
          <w:p w14:paraId="3C54A99D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040" w:type="dxa"/>
            <w:noWrap w:val="0"/>
            <w:vAlign w:val="top"/>
          </w:tcPr>
          <w:p w14:paraId="1450522D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6423A28A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355E2DEC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900" w:type="dxa"/>
            <w:noWrap w:val="0"/>
            <w:vAlign w:val="top"/>
          </w:tcPr>
          <w:p w14:paraId="1D79336E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</w:tr>
      <w:tr w14:paraId="0A78E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48" w:type="dxa"/>
            <w:noWrap w:val="0"/>
            <w:vAlign w:val="top"/>
          </w:tcPr>
          <w:p w14:paraId="7831D6D7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040" w:type="dxa"/>
            <w:noWrap w:val="0"/>
            <w:vAlign w:val="top"/>
          </w:tcPr>
          <w:p w14:paraId="2D683D1C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53F60A22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1D0B4C28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900" w:type="dxa"/>
            <w:noWrap w:val="0"/>
            <w:vAlign w:val="top"/>
          </w:tcPr>
          <w:p w14:paraId="396D2842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</w:tr>
      <w:tr w14:paraId="348664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48" w:type="dxa"/>
            <w:noWrap w:val="0"/>
            <w:vAlign w:val="top"/>
          </w:tcPr>
          <w:p w14:paraId="5898CFB8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040" w:type="dxa"/>
            <w:noWrap w:val="0"/>
            <w:vAlign w:val="top"/>
          </w:tcPr>
          <w:p w14:paraId="3802FE3F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3260DE90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32AF9A95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900" w:type="dxa"/>
            <w:noWrap w:val="0"/>
            <w:vAlign w:val="top"/>
          </w:tcPr>
          <w:p w14:paraId="1A350D1B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</w:tr>
      <w:tr w14:paraId="2F797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48" w:type="dxa"/>
            <w:noWrap w:val="0"/>
            <w:vAlign w:val="top"/>
          </w:tcPr>
          <w:p w14:paraId="3C5EFA5D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040" w:type="dxa"/>
            <w:noWrap w:val="0"/>
            <w:vAlign w:val="top"/>
          </w:tcPr>
          <w:p w14:paraId="444AAE17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18599674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3C7AB5AD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900" w:type="dxa"/>
            <w:noWrap w:val="0"/>
            <w:vAlign w:val="top"/>
          </w:tcPr>
          <w:p w14:paraId="6CFEFB1D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</w:tr>
      <w:tr w14:paraId="6142A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48" w:type="dxa"/>
            <w:noWrap w:val="0"/>
            <w:vAlign w:val="top"/>
          </w:tcPr>
          <w:p w14:paraId="2EBA6D0B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040" w:type="dxa"/>
            <w:noWrap w:val="0"/>
            <w:vAlign w:val="top"/>
          </w:tcPr>
          <w:p w14:paraId="665498BA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090E7265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328C33A1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900" w:type="dxa"/>
            <w:noWrap w:val="0"/>
            <w:vAlign w:val="top"/>
          </w:tcPr>
          <w:p w14:paraId="0F550FBB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</w:tr>
      <w:tr w14:paraId="5EAB3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48" w:type="dxa"/>
            <w:noWrap w:val="0"/>
            <w:vAlign w:val="top"/>
          </w:tcPr>
          <w:p w14:paraId="587E4B77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040" w:type="dxa"/>
            <w:noWrap w:val="0"/>
            <w:vAlign w:val="top"/>
          </w:tcPr>
          <w:p w14:paraId="3E0299F1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49E4D873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5AF5FE09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900" w:type="dxa"/>
            <w:noWrap w:val="0"/>
            <w:vAlign w:val="top"/>
          </w:tcPr>
          <w:p w14:paraId="23BDBB80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</w:tr>
      <w:tr w14:paraId="77B07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48" w:type="dxa"/>
            <w:noWrap w:val="0"/>
            <w:vAlign w:val="top"/>
          </w:tcPr>
          <w:p w14:paraId="736D3AEF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040" w:type="dxa"/>
            <w:noWrap w:val="0"/>
            <w:vAlign w:val="top"/>
          </w:tcPr>
          <w:p w14:paraId="5B74CBA8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0F4ECA5F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14B230D3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900" w:type="dxa"/>
            <w:noWrap w:val="0"/>
            <w:vAlign w:val="top"/>
          </w:tcPr>
          <w:p w14:paraId="4076771E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</w:tr>
      <w:tr w14:paraId="6398D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48" w:type="dxa"/>
            <w:noWrap w:val="0"/>
            <w:vAlign w:val="top"/>
          </w:tcPr>
          <w:p w14:paraId="78CD1995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040" w:type="dxa"/>
            <w:noWrap w:val="0"/>
            <w:vAlign w:val="top"/>
          </w:tcPr>
          <w:p w14:paraId="14DAD921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6F4EB17E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3679B168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900" w:type="dxa"/>
            <w:noWrap w:val="0"/>
            <w:vAlign w:val="top"/>
          </w:tcPr>
          <w:p w14:paraId="1299A972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</w:tr>
      <w:tr w14:paraId="3306EF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48" w:type="dxa"/>
            <w:noWrap w:val="0"/>
            <w:vAlign w:val="top"/>
          </w:tcPr>
          <w:p w14:paraId="27571000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040" w:type="dxa"/>
            <w:noWrap w:val="0"/>
            <w:vAlign w:val="top"/>
          </w:tcPr>
          <w:p w14:paraId="2706AF06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7F5B1368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6F6D8862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900" w:type="dxa"/>
            <w:noWrap w:val="0"/>
            <w:vAlign w:val="top"/>
          </w:tcPr>
          <w:p w14:paraId="1520C849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</w:tr>
      <w:tr w14:paraId="5542F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48" w:type="dxa"/>
            <w:noWrap w:val="0"/>
            <w:vAlign w:val="top"/>
          </w:tcPr>
          <w:p w14:paraId="57A46929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040" w:type="dxa"/>
            <w:noWrap w:val="0"/>
            <w:vAlign w:val="top"/>
          </w:tcPr>
          <w:p w14:paraId="1D559D0F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5B55A487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1C5FA70F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900" w:type="dxa"/>
            <w:noWrap w:val="0"/>
            <w:vAlign w:val="top"/>
          </w:tcPr>
          <w:p w14:paraId="64DEB905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</w:tr>
      <w:tr w14:paraId="7737D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48" w:type="dxa"/>
            <w:noWrap w:val="0"/>
            <w:vAlign w:val="top"/>
          </w:tcPr>
          <w:p w14:paraId="15C3A1B7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040" w:type="dxa"/>
            <w:noWrap w:val="0"/>
            <w:vAlign w:val="top"/>
          </w:tcPr>
          <w:p w14:paraId="57F5A806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6877FCBD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1F434A25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900" w:type="dxa"/>
            <w:noWrap w:val="0"/>
            <w:vAlign w:val="top"/>
          </w:tcPr>
          <w:p w14:paraId="4A46E81C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</w:tr>
      <w:tr w14:paraId="28829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48" w:type="dxa"/>
            <w:noWrap w:val="0"/>
            <w:vAlign w:val="top"/>
          </w:tcPr>
          <w:p w14:paraId="562556F7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040" w:type="dxa"/>
            <w:noWrap w:val="0"/>
            <w:vAlign w:val="top"/>
          </w:tcPr>
          <w:p w14:paraId="56E2D907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6414F1F3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188128F7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900" w:type="dxa"/>
            <w:noWrap w:val="0"/>
            <w:vAlign w:val="top"/>
          </w:tcPr>
          <w:p w14:paraId="6A6A03EE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</w:tr>
      <w:tr w14:paraId="667E0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48" w:type="dxa"/>
            <w:noWrap w:val="0"/>
            <w:vAlign w:val="top"/>
          </w:tcPr>
          <w:p w14:paraId="7D2D6F2C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040" w:type="dxa"/>
            <w:noWrap w:val="0"/>
            <w:vAlign w:val="top"/>
          </w:tcPr>
          <w:p w14:paraId="45F4AD2C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1CC1B88B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20" w:type="dxa"/>
            <w:noWrap w:val="0"/>
            <w:vAlign w:val="top"/>
          </w:tcPr>
          <w:p w14:paraId="769E7773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900" w:type="dxa"/>
            <w:noWrap w:val="0"/>
            <w:vAlign w:val="top"/>
          </w:tcPr>
          <w:p w14:paraId="3EA343C7">
            <w:pPr>
              <w:spacing w:line="360" w:lineRule="auto"/>
              <w:ind w:left="1080" w:leftChars="257" w:hanging="540"/>
              <w:rPr>
                <w:rFonts w:hint="eastAsia" w:ascii="仿宋_GB2312" w:hAnsi="Courier New" w:eastAsia="仿宋_GB2312"/>
                <w:sz w:val="24"/>
                <w:szCs w:val="20"/>
                <w:highlight w:val="none"/>
              </w:rPr>
            </w:pPr>
          </w:p>
        </w:tc>
      </w:tr>
    </w:tbl>
    <w:p w14:paraId="1D93FAFE">
      <w:pPr>
        <w:spacing w:line="360" w:lineRule="auto"/>
        <w:ind w:left="1080" w:leftChars="257" w:hanging="540"/>
        <w:rPr>
          <w:rFonts w:hint="eastAsia" w:ascii="仿宋_GB2312" w:hAnsi="Courier New" w:eastAsia="仿宋_GB2312"/>
          <w:sz w:val="24"/>
          <w:szCs w:val="20"/>
          <w:highlight w:val="none"/>
        </w:rPr>
      </w:pPr>
    </w:p>
    <w:p w14:paraId="69A917E3">
      <w:pPr>
        <w:spacing w:line="360" w:lineRule="auto"/>
        <w:ind w:left="1080" w:leftChars="257" w:hanging="540"/>
        <w:rPr>
          <w:rFonts w:hint="eastAsia" w:ascii="仿宋_GB2312" w:hAnsi="Courier New" w:eastAsia="仿宋_GB2312"/>
          <w:sz w:val="24"/>
          <w:szCs w:val="20"/>
          <w:highlight w:val="none"/>
        </w:rPr>
      </w:pPr>
    </w:p>
    <w:p w14:paraId="44B4B509">
      <w:pPr>
        <w:tabs>
          <w:tab w:val="left" w:pos="5370"/>
        </w:tabs>
        <w:spacing w:line="360" w:lineRule="auto"/>
        <w:ind w:left="1080" w:leftChars="257" w:hanging="540"/>
        <w:rPr>
          <w:rFonts w:hint="eastAsia" w:ascii="仿宋_GB2312" w:hAnsi="宋体" w:eastAsia="仿宋_GB2312"/>
          <w:sz w:val="24"/>
          <w:szCs w:val="20"/>
          <w:highlight w:val="none"/>
          <w:u w:val="single"/>
        </w:rPr>
      </w:pPr>
      <w:r>
        <w:rPr>
          <w:rFonts w:hint="eastAsia" w:ascii="仿宋_GB2312" w:hAnsi="宋体" w:eastAsia="仿宋_GB2312"/>
          <w:sz w:val="24"/>
          <w:szCs w:val="20"/>
          <w:highlight w:val="none"/>
        </w:rPr>
        <w:t>投标人(盖章):</w:t>
      </w:r>
      <w:r>
        <w:rPr>
          <w:rFonts w:ascii="仿宋_GB2312" w:hAnsi="宋体" w:eastAsia="仿宋_GB2312"/>
          <w:sz w:val="24"/>
          <w:szCs w:val="20"/>
          <w:highlight w:val="none"/>
          <w:u w:val="single"/>
        </w:rPr>
        <w:tab/>
      </w:r>
    </w:p>
    <w:p w14:paraId="0AF1EB93">
      <w:pPr>
        <w:spacing w:line="360" w:lineRule="auto"/>
        <w:ind w:left="1080" w:leftChars="257" w:hanging="540"/>
        <w:rPr>
          <w:rFonts w:hint="eastAsia" w:ascii="仿宋_GB2312" w:hAnsi="Courier New" w:eastAsia="仿宋_GB2312"/>
          <w:sz w:val="24"/>
          <w:szCs w:val="20"/>
          <w:highlight w:val="none"/>
        </w:rPr>
      </w:pPr>
      <w:r>
        <w:rPr>
          <w:rFonts w:hint="eastAsia" w:ascii="仿宋_GB2312" w:hAnsi="Courier New" w:eastAsia="仿宋_GB2312"/>
          <w:sz w:val="24"/>
          <w:szCs w:val="20"/>
          <w:highlight w:val="none"/>
        </w:rPr>
        <w:t>法定代表人（签字或签章）:</w:t>
      </w:r>
      <w:r>
        <w:rPr>
          <w:rFonts w:hint="eastAsia" w:ascii="仿宋_GB2312" w:hAnsi="宋体" w:eastAsia="仿宋_GB2312"/>
          <w:sz w:val="24"/>
          <w:szCs w:val="20"/>
          <w:highlight w:val="none"/>
          <w:u w:val="single"/>
        </w:rPr>
        <w:t xml:space="preserve"> </w:t>
      </w:r>
      <w:r>
        <w:rPr>
          <w:rFonts w:ascii="仿宋_GB2312" w:hAnsi="宋体" w:eastAsia="仿宋_GB2312"/>
          <w:sz w:val="24"/>
          <w:szCs w:val="20"/>
          <w:highlight w:val="none"/>
          <w:u w:val="single"/>
        </w:rPr>
        <w:tab/>
      </w:r>
      <w:r>
        <w:rPr>
          <w:rFonts w:hint="eastAsia" w:ascii="仿宋_GB2312" w:hAnsi="宋体" w:eastAsia="仿宋_GB2312"/>
          <w:sz w:val="24"/>
          <w:szCs w:val="20"/>
          <w:highlight w:val="none"/>
          <w:u w:val="single"/>
        </w:rPr>
        <w:t xml:space="preserve">                 </w:t>
      </w:r>
    </w:p>
    <w:p w14:paraId="294F6497">
      <w:pPr>
        <w:pStyle w:val="6"/>
        <w:spacing w:line="360" w:lineRule="auto"/>
        <w:ind w:firstLine="480" w:firstLineChars="200"/>
        <w:rPr>
          <w:rFonts w:ascii="仿宋" w:hAnsi="仿宋" w:eastAsia="仿宋"/>
          <w:sz w:val="24"/>
          <w:highlight w:val="none"/>
        </w:rPr>
      </w:pPr>
    </w:p>
    <w:p w14:paraId="73AF45EF">
      <w:pPr>
        <w:numPr>
          <w:ilvl w:val="-1"/>
          <w:numId w:val="0"/>
        </w:numPr>
        <w:ind w:left="0"/>
        <w:rPr>
          <w:rFonts w:hint="default"/>
          <w:lang w:val="en-US" w:eastAsia="zh-CN"/>
        </w:rPr>
      </w:pPr>
    </w:p>
    <w:p w14:paraId="58C60038">
      <w:pPr>
        <w:pStyle w:val="2"/>
        <w:tabs>
          <w:tab w:val="left" w:pos="567"/>
        </w:tabs>
        <w:jc w:val="center"/>
        <w:rPr>
          <w:rFonts w:hint="eastAsia" w:ascii="仿宋" w:hAnsi="仿宋" w:eastAsia="仿宋" w:cs="仿宋"/>
          <w:b/>
          <w:bCs/>
          <w:color w:val="auto"/>
          <w:kern w:val="2"/>
          <w:sz w:val="40"/>
          <w:szCs w:val="2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40"/>
          <w:szCs w:val="22"/>
          <w:highlight w:val="none"/>
          <w:lang w:val="en-US" w:eastAsia="zh-CN" w:bidi="ar-SA"/>
        </w:rPr>
        <w:t>“一站式”学生社区（环湖6栋）</w:t>
      </w:r>
    </w:p>
    <w:p w14:paraId="2AC0BBDD">
      <w:pPr>
        <w:pStyle w:val="2"/>
        <w:tabs>
          <w:tab w:val="left" w:pos="567"/>
        </w:tabs>
        <w:jc w:val="center"/>
        <w:rPr>
          <w:rFonts w:hint="eastAsia" w:ascii="仿宋" w:hAnsi="仿宋" w:eastAsia="仿宋" w:cs="仿宋"/>
          <w:b/>
          <w:bCs/>
          <w:color w:val="auto"/>
          <w:kern w:val="2"/>
          <w:sz w:val="40"/>
          <w:szCs w:val="2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40"/>
          <w:szCs w:val="22"/>
          <w:highlight w:val="none"/>
          <w:lang w:val="en-US" w:eastAsia="zh-CN" w:bidi="ar-SA"/>
        </w:rPr>
        <w:t>核心显示设备买卖合同</w:t>
      </w:r>
    </w:p>
    <w:tbl>
      <w:tblPr>
        <w:tblStyle w:val="11"/>
        <w:tblW w:w="0" w:type="auto"/>
        <w:tblInd w:w="46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1"/>
        <w:gridCol w:w="4632"/>
      </w:tblGrid>
      <w:tr w14:paraId="43DF3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1" w:type="dxa"/>
            <w:noWrap w:val="0"/>
            <w:vAlign w:val="center"/>
          </w:tcPr>
          <w:p w14:paraId="48293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3" w:beforeLines="50" w:after="233" w:afterLines="50" w:line="36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甲方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中南财经政法大学       </w:t>
            </w:r>
          </w:p>
        </w:tc>
        <w:tc>
          <w:tcPr>
            <w:tcW w:w="4632" w:type="dxa"/>
            <w:noWrap w:val="0"/>
            <w:vAlign w:val="center"/>
          </w:tcPr>
          <w:p w14:paraId="250E2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3" w:beforeLines="50" w:after="233" w:afterLines="50" w:line="36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/>
              </w:rPr>
              <w:t>乙方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     </w:t>
            </w:r>
          </w:p>
        </w:tc>
      </w:tr>
      <w:tr w14:paraId="23B6A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1" w:type="dxa"/>
            <w:noWrap w:val="0"/>
            <w:vAlign w:val="center"/>
          </w:tcPr>
          <w:p w14:paraId="608523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3" w:beforeLines="50" w:after="233" w:afterLines="50" w:line="360" w:lineRule="auto"/>
              <w:ind w:left="723" w:hanging="723" w:hangingChars="30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地址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>湖北省武汉市东湖新技术开发区南湖大道182号</w:t>
            </w:r>
          </w:p>
        </w:tc>
        <w:tc>
          <w:tcPr>
            <w:tcW w:w="4632" w:type="dxa"/>
            <w:noWrap w:val="0"/>
            <w:vAlign w:val="center"/>
          </w:tcPr>
          <w:p w14:paraId="6A00F4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3" w:beforeLines="50" w:after="233" w:afterLines="50" w:line="36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地址：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      </w:t>
            </w:r>
          </w:p>
        </w:tc>
      </w:tr>
      <w:tr w14:paraId="66DB6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1" w:type="dxa"/>
            <w:noWrap w:val="0"/>
            <w:vAlign w:val="center"/>
          </w:tcPr>
          <w:p w14:paraId="25DD1F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3" w:beforeLines="50" w:after="233" w:afterLines="50" w:line="36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电话：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>027-88386782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single"/>
              </w:rPr>
              <w:t xml:space="preserve"> </w:t>
            </w:r>
          </w:p>
        </w:tc>
        <w:tc>
          <w:tcPr>
            <w:tcW w:w="4632" w:type="dxa"/>
            <w:noWrap w:val="0"/>
            <w:vAlign w:val="center"/>
          </w:tcPr>
          <w:p w14:paraId="7AFDFF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3" w:beforeLines="50" w:after="233" w:afterLines="50" w:line="36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电话：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      </w:t>
            </w:r>
          </w:p>
        </w:tc>
      </w:tr>
    </w:tbl>
    <w:p w14:paraId="25B03AA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根据《中华人民共和国民法典》及</w:t>
      </w:r>
      <w:r>
        <w:rPr>
          <w:rFonts w:hint="default" w:ascii="仿宋" w:hAnsi="仿宋" w:eastAsia="仿宋" w:cs="仿宋"/>
          <w:sz w:val="24"/>
          <w:szCs w:val="24"/>
          <w:highlight w:val="none"/>
          <w:lang w:val="en-US" w:eastAsia="zh-CN"/>
        </w:rPr>
        <w:t>（中南大货物类A33公招字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〔2025〕7号</w:t>
      </w:r>
      <w:r>
        <w:rPr>
          <w:rFonts w:hint="default" w:ascii="仿宋" w:hAnsi="仿宋" w:eastAsia="仿宋" w:cs="仿宋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的采购结果、响应文件承诺和采购文件的要求，经甲乙双方协商一致，签订本合同。</w:t>
      </w:r>
    </w:p>
    <w:p w14:paraId="10CDDF84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rPr>
          <w:rFonts w:hint="eastAsia" w:ascii="仿宋" w:hAnsi="仿宋" w:eastAsia="仿宋" w:cs="仿宋"/>
          <w:b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合同标的</w:t>
      </w:r>
    </w:p>
    <w:p w14:paraId="73C9581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货物清单见附件。</w:t>
      </w:r>
    </w:p>
    <w:p w14:paraId="14560493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rPr>
          <w:rFonts w:hint="eastAsia" w:ascii="仿宋" w:hAnsi="仿宋" w:eastAsia="仿宋" w:cs="仿宋"/>
          <w:b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合同价款</w:t>
      </w:r>
    </w:p>
    <w:p w14:paraId="4FBA80A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本合同项下货物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含税总额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为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￥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元，大写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eastAsia="zh-CN"/>
        </w:rPr>
        <w:t>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。总价包括货物设计、制造、包装、仓储、运输、安装及验收合格之前及保修期内备品备件发生的所有含税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fldChar w:fldCharType="begin"/>
      </w:r>
      <w:r>
        <w:rPr>
          <w:rFonts w:hint="eastAsia" w:ascii="仿宋" w:hAnsi="仿宋" w:eastAsia="仿宋" w:cs="仿宋"/>
          <w:sz w:val="24"/>
          <w:szCs w:val="24"/>
          <w:highlight w:val="none"/>
        </w:rPr>
        <w:instrText xml:space="preserve"> HYPERLINK "http://www.liuxue86.com/feiyong/" \t "_blank" </w:instrText>
      </w:r>
      <w:r>
        <w:rPr>
          <w:rFonts w:hint="eastAsia" w:ascii="仿宋" w:hAnsi="仿宋" w:eastAsia="仿宋" w:cs="仿宋"/>
          <w:sz w:val="24"/>
          <w:szCs w:val="24"/>
          <w:highlight w:val="none"/>
        </w:rPr>
        <w:fldChar w:fldCharType="separate"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费用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fldChar w:fldCharType="end"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。</w:t>
      </w:r>
    </w:p>
    <w:p w14:paraId="7C0126A9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rPr>
          <w:rFonts w:hint="eastAsia" w:ascii="仿宋" w:hAnsi="仿宋" w:eastAsia="仿宋" w:cs="仿宋"/>
          <w:b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交货地点、期限</w:t>
      </w:r>
    </w:p>
    <w:p w14:paraId="20E50E1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（一）交货地点：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  <w:t xml:space="preserve">中南财经政法大学（南湖校区）环湖6栋地下一层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none"/>
          <w:lang w:val="en-US" w:eastAsia="zh-CN"/>
        </w:rPr>
        <w:t>。</w:t>
      </w:r>
    </w:p>
    <w:p w14:paraId="1B985F8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（二）到货时间：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/>
        </w:rPr>
        <w:t>合同签订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后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，甲方发出生产指令后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  <w:t xml:space="preserve">30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none"/>
          <w:lang w:val="en-US" w:eastAsia="zh-CN"/>
        </w:rPr>
        <w:t>天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内货到现场。</w:t>
      </w:r>
    </w:p>
    <w:p w14:paraId="0F8F61AD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（三）如甲方希望乙方提前或延后交付货物，应在约定的货物交付日期前10天书面通知乙方。</w:t>
      </w:r>
    </w:p>
    <w:p w14:paraId="5879907A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rPr>
          <w:rFonts w:hint="eastAsia" w:ascii="仿宋" w:hAnsi="仿宋" w:eastAsia="仿宋" w:cs="仿宋"/>
          <w:b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包装运输</w:t>
      </w:r>
    </w:p>
    <w:p w14:paraId="278DF7D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（一）乙方应根据货物的特点和运输的条件进行包装，避免货物损坏或变质。包装上应标注运输、装卸标记。</w:t>
      </w:r>
    </w:p>
    <w:p w14:paraId="5A22130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（二）乙方负责将货物运抵甲方指定的交货地点。</w:t>
      </w:r>
    </w:p>
    <w:p w14:paraId="4EE5BD4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（三）乙方承担货物运抵指定交货地点的运输费、保险费、包装费等，上述费用包含在货物的最终成交总额中。</w:t>
      </w:r>
    </w:p>
    <w:p w14:paraId="0D7878AA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rPr>
          <w:rFonts w:hint="eastAsia" w:ascii="仿宋" w:hAnsi="仿宋" w:eastAsia="仿宋" w:cs="仿宋"/>
          <w:b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知识产权</w:t>
      </w:r>
    </w:p>
    <w:p w14:paraId="3E75E80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一）乙方保证向甲方提供的货物免受第三方提出的侵犯其专利权、商标权、著作权或其他知识产权的主张。任何第三方如果提出此类权利主张，由乙方承担由此产生的费用和后果。若因设备或设备的任何部分裁决构成侵权，其使用被予以限制，乙方应自担费用并主动做出相应的安排：或为甲方获取继续使用受指控侵权的货物或货物的某一部分的权利，或用不会造成侵权的同等技术水平的货物更换。同时，乙方应赔偿甲方因此遭受的全部损失。</w:t>
      </w:r>
    </w:p>
    <w:p w14:paraId="0BA6450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（二）甲方免费享有乙方按照本合同提供的货物、软件、文件资料及所包含知识产权的使用权。</w:t>
      </w:r>
    </w:p>
    <w:p w14:paraId="3E3D8D36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rPr>
          <w:rFonts w:hint="eastAsia" w:ascii="仿宋" w:hAnsi="仿宋" w:eastAsia="仿宋" w:cs="仿宋"/>
          <w:b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质量要求</w:t>
      </w:r>
    </w:p>
    <w:p w14:paraId="1760B1C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（一）乙方所提供的货物必须符合中华人民共和国国家安全、环保、节能、卫生标准，国家及有关行业产品质量认证标准，采购文件的质量要求及双方签字确认的相关承诺及协议。</w:t>
      </w:r>
    </w:p>
    <w:p w14:paraId="52DF917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（二）乙方所提供的货物必须是全新、未使用的原装产品。货物上应钉有</w:t>
      </w: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铭牌（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内容包括：制造商、货物名称、型号规格、出厂日期等</w:t>
      </w: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并附有产品质量检验合格标志。</w:t>
      </w:r>
    </w:p>
    <w:p w14:paraId="52DB622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（三）在货物质量保证期内，如货物出现质量瑕疵或缺陷，甲方有权选择免费更换、修复、减少价款、赔偿损失等方式要求乙方承担质量保证责任。</w:t>
      </w:r>
    </w:p>
    <w:p w14:paraId="0790CDA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（四）货物出现瑕疵或缺陷，乙方应在接到甲方通知后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日内完成更换、维修等工作。因货物缺陷造成的损失，由乙方负责赔偿。</w:t>
      </w:r>
    </w:p>
    <w:p w14:paraId="5709BC34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rPr>
          <w:rFonts w:hint="eastAsia" w:ascii="仿宋" w:hAnsi="仿宋" w:eastAsia="仿宋" w:cs="仿宋"/>
          <w:b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付款方式</w:t>
      </w:r>
    </w:p>
    <w:p w14:paraId="4F6753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一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）本合同范围内的所有付款，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甲方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统一支付给指定的银行账户，相关要求和账户信息如下：</w:t>
      </w:r>
    </w:p>
    <w:p w14:paraId="0FB60C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乙方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应设立一个和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甲方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共管的服务于本项目的银行账户，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合同签订后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个工作日内，甲方将全部货款转入共管账户内。甲方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向该共管账户拨付的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货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款，由共管账户转出时必须经过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甲方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批准后方可支付</w:t>
      </w: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甲方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审批的时间一般为5至7个工作日</w:t>
      </w: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到货开箱验收合格后，甲方支付合同总价的70%，货到并安装调试验收合格后，乙方开具符合甲方要求的增值税发票，甲方支付剩余30%余款。</w:t>
      </w:r>
    </w:p>
    <w:p w14:paraId="68C1CF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账户名称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：</w:t>
      </w:r>
    </w:p>
    <w:p w14:paraId="632BEA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账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号：</w:t>
      </w:r>
    </w:p>
    <w:p w14:paraId="251CB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开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户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行：</w:t>
      </w:r>
    </w:p>
    <w:p w14:paraId="0E3EC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甲方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向上述共管账户支付预付款后，因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乙方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的组织关系、经济纠纷、税费不统一等各种原因造成的所有问题与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甲方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无关，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甲方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不负任何责任。</w:t>
      </w:r>
    </w:p>
    <w:p w14:paraId="7FC5D436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注：乙方确保上述银行账户信息的正确，若上述账号有任何变动，乙方应至少提前三个工作日书面通知甲方。如因乙方提供的账户信息有误或变更未能及时书面通知甲方，导致未能收款的，视为甲方已支付相应款项，甲方不承担任何责任。</w:t>
      </w:r>
      <w:r>
        <w:rPr>
          <w:rFonts w:hint="eastAsia" w:ascii="仿宋" w:hAnsi="仿宋" w:eastAsia="仿宋" w:cs="Times New Roman"/>
          <w:sz w:val="24"/>
          <w:szCs w:val="24"/>
          <w:highlight w:val="none"/>
          <w:lang w:bidi="zh-CN"/>
        </w:rPr>
        <w:t>乙方向甲方所出具的合同款发票应该为增值税专用发票。</w:t>
      </w:r>
    </w:p>
    <w:p w14:paraId="39FAC956"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540" w:lineRule="exact"/>
        <w:ind w:firstLine="480" w:firstLineChars="200"/>
        <w:jc w:val="both"/>
        <w:rPr>
          <w:rFonts w:hint="default" w:ascii="仿宋" w:hAnsi="仿宋" w:eastAsia="仿宋" w:cs="仿宋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二</w:t>
      </w: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）履约保证金：乙方在与甲方签订合同前，产品中标方应向甲方提交合同总金额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%的履约保证金，即：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￥   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u w:val="none"/>
          <w:lang w:val="en-US" w:eastAsia="zh-CN"/>
        </w:rPr>
        <w:t>元，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none"/>
          <w:lang w:val="en-US" w:eastAsia="zh-CN"/>
        </w:rPr>
        <w:t>大写金额：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none"/>
          <w:lang w:val="en-US" w:eastAsia="zh-CN"/>
        </w:rPr>
        <w:t>。</w:t>
      </w:r>
    </w:p>
    <w:p w14:paraId="2229DF16">
      <w:pPr>
        <w:keepNext w:val="0"/>
        <w:keepLines w:val="0"/>
        <w:pageBreakBefore w:val="0"/>
        <w:widowControl w:val="0"/>
        <w:tabs>
          <w:tab w:val="left" w:pos="6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left="0" w:leftChars="0" w:right="0" w:rightChars="0" w:firstLine="480" w:firstLineChars="200"/>
        <w:textAlignment w:val="auto"/>
        <w:rPr>
          <w:rFonts w:hint="eastAsia" w:ascii="仿宋" w:hAnsi="仿宋" w:eastAsia="仿宋" w:cs="仿宋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4"/>
          <w:szCs w:val="24"/>
          <w:highlight w:val="none"/>
          <w:lang w:val="en-US" w:eastAsia="zh-CN" w:bidi="ar-SA"/>
        </w:rPr>
        <w:t>账户名称：中南财经政法大学</w:t>
      </w:r>
    </w:p>
    <w:p w14:paraId="0B1EC134">
      <w:pPr>
        <w:keepNext w:val="0"/>
        <w:keepLines w:val="0"/>
        <w:pageBreakBefore w:val="0"/>
        <w:widowControl w:val="0"/>
        <w:tabs>
          <w:tab w:val="left" w:pos="6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left="0" w:leftChars="0" w:right="0" w:rightChars="0" w:firstLine="480" w:firstLineChars="200"/>
        <w:textAlignment w:val="auto"/>
        <w:rPr>
          <w:rFonts w:hint="eastAsia" w:ascii="仿宋" w:hAnsi="仿宋" w:eastAsia="仿宋" w:cs="仿宋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4"/>
          <w:szCs w:val="24"/>
          <w:highlight w:val="none"/>
          <w:lang w:val="en-US" w:eastAsia="zh-CN" w:bidi="ar-SA"/>
        </w:rPr>
        <w:t>账    号：565157528455</w:t>
      </w:r>
    </w:p>
    <w:p w14:paraId="6C649E2C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540" w:lineRule="exact"/>
        <w:ind w:left="0" w:right="0" w:firstLine="480" w:firstLineChars="200"/>
        <w:jc w:val="left"/>
        <w:textAlignment w:val="baseline"/>
        <w:rPr>
          <w:rFonts w:hint="default" w:ascii="仿宋" w:hAnsi="仿宋" w:eastAsia="仿宋" w:cs="仿宋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4"/>
          <w:szCs w:val="24"/>
          <w:highlight w:val="none"/>
          <w:lang w:val="en-US" w:eastAsia="zh-CN" w:bidi="ar-SA"/>
        </w:rPr>
        <w:t>开 户 行：中国银行股份有限公司武汉东湖新技术开发区分行</w:t>
      </w:r>
    </w:p>
    <w:p w14:paraId="75CE6BF6"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三</w:t>
      </w: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）履约保证金的退还：乙方可自合同约定的乙方主要义务履行完毕（即项目安装验收合格后满3年）之日起，向甲方提出退还该履约保证金的申请，甲方在收到该申请的15个工作日（非寒暑假）内会同乙方就是否存在违约情形、是否存在质量、安全及服务问题等进行核实。如无上述情形或问题，则甲方应当在核实后15个工作日（非寒暑假）内向乙方无息退还该保证金。如有上述情形或问题，甲方有权扣除相应金额的费用后向乙方无息退还剩余履约保证金，如该保证金不足以弥补前述扣除金额的，由乙方负责补足。</w:t>
      </w:r>
    </w:p>
    <w:p w14:paraId="1D270156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rPr>
          <w:rFonts w:hint="eastAsia" w:ascii="仿宋" w:hAnsi="仿宋" w:eastAsia="仿宋" w:cs="仿宋"/>
          <w:b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安装、调试和验收</w:t>
      </w:r>
    </w:p>
    <w:p w14:paraId="6B4BE868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一）甲方依据合同约定对货物的外观品质、数量、规格、型号、工具、备件、随机资料等进行初步验收。由甲方人员负责开箱，双方人员依据合同约定对合同货物参数、数量及质量要求进行点验，双方代表签署设备点验单。</w:t>
      </w:r>
    </w:p>
    <w:p w14:paraId="6F76D8CF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（二）乙方负责安装调试，甲方提供必要的工作条件。</w:t>
      </w:r>
    </w:p>
    <w:p w14:paraId="0756938D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（三）甲方应在乙方完成安装、调试后 5 个工作日内，由甲、乙双方按照国家有关技术标准和双方确认的技术标准进行现场验收</w:t>
      </w: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必要时可邀请第三方专业机构（费用由乙方承担）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。验收合格后，由甲方签字认可或出具验收合格证明。</w:t>
      </w:r>
    </w:p>
    <w:p w14:paraId="0EC6E7BE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（四）验收中，发现货物不符合合同约定的质量标准，由乙方负责7个日历天内完成整改，直至完全符合合同书的技术要求，乙方对每次整改均应记录，并反映于整改合格后的验收文档中。</w:t>
      </w:r>
    </w:p>
    <w:p w14:paraId="6A88465E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）若两次修改后仍无法达到合同要求，甲方有权要求乙方退货和拒付该合同全部货款，并要求乙方承担合同总金额10%的违约金。</w:t>
      </w:r>
    </w:p>
    <w:p w14:paraId="3E11C284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rPr>
          <w:rFonts w:hint="eastAsia" w:ascii="仿宋" w:hAnsi="仿宋" w:eastAsia="仿宋" w:cs="仿宋"/>
          <w:b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培训</w:t>
      </w:r>
    </w:p>
    <w:p w14:paraId="39A6910B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b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乙方负责免费为甲方有关人员进行培训。培训内容应至少包括：设备的操作使用和保养；设备安全注意事项；设备简易故障排除等。    </w:t>
      </w:r>
    </w:p>
    <w:p w14:paraId="29D3EAF2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rPr>
          <w:rFonts w:hint="eastAsia" w:ascii="仿宋" w:hAnsi="仿宋" w:eastAsia="仿宋" w:cs="仿宋"/>
          <w:b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售后服务</w:t>
      </w:r>
    </w:p>
    <w:p w14:paraId="5F787AB6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（一）乙方应按照国家有关法律法规和“三包”规定以及采购文件约定的服务条款为甲方提供售后服务。</w:t>
      </w:r>
    </w:p>
    <w:p w14:paraId="70AA2D0F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（二）乙方的产品质保期和售后服务期为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年，自安装调试验收合格之日起计算。</w:t>
      </w:r>
    </w:p>
    <w:p w14:paraId="225AD092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三）在质保期内，乙方应对由于设计、制造工艺、材料和安装所造成的质量缺陷或质量问题负责，并免费上门进行修理、更换零部件或退换，并须对设备出现的有关技术性问题或安全问题负责处理、解决，同时乙方应相应延长被更换货物的质保期。</w:t>
      </w:r>
    </w:p>
    <w:p w14:paraId="44D86B0A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（四）如乙方拒绝承担未到期的售后服务责任，甲方有权要求索赔。</w:t>
      </w:r>
    </w:p>
    <w:p w14:paraId="311C6667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）乙方提供7*24电话服务，在收到故障通知后，2小时内到达现场，4小时内解决问题，不能现场解决的则免费提供同档次备用设备，确保系统正常工作，后续故障解决后再替换备用设备。如果乙方收到甲方维修通知后在1个工作日内没有及时维修、重作、更换以弥补缺陷，甲方可采取必要的补救措施，但其风险和费用将由乙方承担，甲方根据合同规定对乙方行使的其他权利不受影响。</w:t>
      </w:r>
    </w:p>
    <w:p w14:paraId="06D3B800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rPr>
          <w:rFonts w:hint="eastAsia" w:ascii="仿宋" w:hAnsi="仿宋" w:eastAsia="仿宋" w:cs="仿宋"/>
          <w:b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 xml:space="preserve"> 违约责任</w:t>
      </w:r>
    </w:p>
    <w:p w14:paraId="404D53FC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（一）甲乙双方不履行合同义务或者履行合同义务不符合约定的，都应当承担继续履行、采取补救措施或者赔偿损失等违约责任。</w:t>
      </w:r>
    </w:p>
    <w:p w14:paraId="6BBA1F24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（二）如乙方不能按期交货，除经甲方认可的不可抗拒原因外，交货日期每延长一天，甲方按合同总金额的3‰按日收取乙方延迟交货违约金，违约金最高不超过合同总金额5%。</w:t>
      </w:r>
    </w:p>
    <w:p w14:paraId="0005FBCB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（三）由于乙方原因不能按照约定交货的，在甲方通知后15日内乙方仍未履行或采取补救措施的，甲方有权终止合同，乙方必须无条件退回甲方已付给乙方的全部货款，并向甲方支付合同总金额的10%的违约金。</w:t>
      </w:r>
    </w:p>
    <w:p w14:paraId="5B4E4AE4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四）乙方所交付的设备品种、型号、规格、质量不符合合同约定、国家标准，所供设备达不到约定技术要求的，甲方有权拒收并终止合同，乙方必须无条件退回甲方已付给乙方的全部货款，并向甲方支付合同总金额的10%的违约金。</w:t>
      </w:r>
    </w:p>
    <w:p w14:paraId="17C554FC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color w:val="FF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（五）甲方无正当理由延期付款，每延长一天，甲方按未付金额的3‰支付乙方违约金，违约金最多不超过合同总金额的5%。</w:t>
      </w:r>
    </w:p>
    <w:p w14:paraId="5BC4C83D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其他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违约责任按《中华人民共和国民法典》处理。</w:t>
      </w:r>
    </w:p>
    <w:p w14:paraId="199D2813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rPr>
          <w:rFonts w:hint="eastAsia" w:ascii="仿宋" w:hAnsi="仿宋" w:eastAsia="仿宋" w:cs="仿宋"/>
          <w:b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 xml:space="preserve"> 不可抗力</w:t>
      </w:r>
    </w:p>
    <w:p w14:paraId="04579BE7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任何一方由于不可抗力原因不能履行合同时，应在不可抗力事件结束后1日内向对方通报，以减轻可能给对方造成的损失，在取得有关机构的不可抗力证明或双方谅解确认后，允许延期履行或修订合同，并根据情况可部分或全部免于承担违约责任。</w:t>
      </w:r>
    </w:p>
    <w:p w14:paraId="71609DBD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rPr>
          <w:rFonts w:hint="eastAsia" w:ascii="仿宋" w:hAnsi="仿宋" w:eastAsia="仿宋" w:cs="仿宋"/>
          <w:b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 xml:space="preserve"> 争议解决</w:t>
      </w:r>
    </w:p>
    <w:p w14:paraId="6DA02564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（一）因货物的质量问题发生争议的，由甲方属地技术监督部门进行质量鉴定。货物符合质量标准的，鉴定费由甲方承担</w:t>
      </w: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；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货物不符合质量标准的，鉴定费由乙方承担。</w:t>
      </w:r>
    </w:p>
    <w:p w14:paraId="28315A3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ind w:firstLine="360" w:firstLineChars="150"/>
        <w:rPr>
          <w:rFonts w:hint="eastAsia" w:ascii="仿宋" w:hAnsi="仿宋" w:eastAsia="仿宋" w:cs="仿宋"/>
          <w:kern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二）因本合同引起的或与本合同有关的争议，由双方协商解决。不能协商一致的，应当提交武汉仲裁委员会（武汉国际仲裁中心），按申请仲裁时该会（中心）现行有效的仲裁规则进行仲裁。仲裁裁决是终局的，对各方均有约束力。</w:t>
      </w:r>
    </w:p>
    <w:p w14:paraId="00EB5699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beforeLines="50" w:afterLines="50" w:line="540" w:lineRule="exact"/>
        <w:rPr>
          <w:rFonts w:hint="eastAsia" w:ascii="仿宋" w:hAnsi="仿宋" w:eastAsia="仿宋" w:cs="仿宋"/>
          <w:b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 xml:space="preserve"> 附则</w:t>
      </w:r>
    </w:p>
    <w:p w14:paraId="6875457E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（一）本合同未尽事宜，可由双方协商一致后订立补充协议，补充协议与本合同具有同等的法律效力。</w:t>
      </w:r>
    </w:p>
    <w:p w14:paraId="599A476F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（二）本项目的成交通知书（成交结果公告）、响应文件、采购文件与本合同具有同等的法律效力。</w:t>
      </w:r>
    </w:p>
    <w:p w14:paraId="395C8BB5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（三）本合同经双方法定代表人或授权代表签字并加盖公章后生效。</w:t>
      </w:r>
    </w:p>
    <w:p w14:paraId="5790A15C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Lines="50" w:beforeAutospacing="0" w:afterLines="50" w:afterAutospacing="0" w:line="5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（四）本合同壹式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陆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份，甲方持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伍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份，乙方持壹份，每份均具同等法律效力。</w:t>
      </w:r>
    </w:p>
    <w:tbl>
      <w:tblPr>
        <w:tblStyle w:val="11"/>
        <w:tblW w:w="9064" w:type="dxa"/>
        <w:tblInd w:w="1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28"/>
        <w:gridCol w:w="4536"/>
      </w:tblGrid>
      <w:tr w14:paraId="7C9B3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28" w:type="dxa"/>
            <w:noWrap w:val="0"/>
            <w:vAlign w:val="top"/>
          </w:tcPr>
          <w:p w14:paraId="045E1019"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Lines="50" w:beforeAutospacing="0" w:afterLines="50" w:afterAutospacing="0" w:line="360" w:lineRule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甲方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盖章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</w:t>
            </w:r>
          </w:p>
        </w:tc>
        <w:tc>
          <w:tcPr>
            <w:tcW w:w="4536" w:type="dxa"/>
            <w:noWrap w:val="0"/>
            <w:vAlign w:val="top"/>
          </w:tcPr>
          <w:p w14:paraId="7A7A6110"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Lines="50" w:beforeAutospacing="0" w:afterLines="50" w:afterAutospacing="0" w:line="360" w:lineRule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乙方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盖章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u w:val="single"/>
              </w:rPr>
              <w:t xml:space="preserve">  </w:t>
            </w:r>
          </w:p>
        </w:tc>
      </w:tr>
      <w:tr w14:paraId="048B3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28" w:type="dxa"/>
            <w:noWrap w:val="0"/>
            <w:vAlign w:val="top"/>
          </w:tcPr>
          <w:p w14:paraId="181170BF"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Lines="50" w:beforeAutospacing="0" w:afterLines="50" w:afterAutospacing="0" w:line="360" w:lineRule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法定代表人或授权代表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签字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：</w:t>
            </w:r>
          </w:p>
        </w:tc>
        <w:tc>
          <w:tcPr>
            <w:tcW w:w="4536" w:type="dxa"/>
            <w:noWrap w:val="0"/>
            <w:vAlign w:val="top"/>
          </w:tcPr>
          <w:p w14:paraId="217FB64A"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Lines="50" w:beforeAutospacing="0" w:afterLines="50" w:afterAutospacing="0" w:line="360" w:lineRule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法定代表人或授权代表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签字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：</w:t>
            </w:r>
          </w:p>
        </w:tc>
      </w:tr>
      <w:tr w14:paraId="2E41B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28" w:type="dxa"/>
            <w:noWrap w:val="0"/>
            <w:vAlign w:val="top"/>
          </w:tcPr>
          <w:p w14:paraId="4415993F"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Lines="50" w:beforeAutospacing="0" w:afterLines="50" w:afterAutospacing="0" w:line="360" w:lineRule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盖章：</w:t>
            </w:r>
          </w:p>
        </w:tc>
        <w:tc>
          <w:tcPr>
            <w:tcW w:w="4536" w:type="dxa"/>
            <w:noWrap w:val="0"/>
            <w:vAlign w:val="top"/>
          </w:tcPr>
          <w:p w14:paraId="0D8D0740"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Lines="50" w:beforeAutospacing="0" w:afterLines="50" w:afterAutospacing="0" w:line="360" w:lineRule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盖章：</w:t>
            </w:r>
          </w:p>
        </w:tc>
      </w:tr>
      <w:tr w14:paraId="789EC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28" w:type="dxa"/>
            <w:noWrap w:val="0"/>
            <w:vAlign w:val="top"/>
          </w:tcPr>
          <w:p w14:paraId="689D6EF2"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Lines="50" w:beforeAutospacing="0" w:afterLines="50" w:afterAutospacing="0" w:line="360" w:lineRule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日期：</w:t>
            </w:r>
          </w:p>
        </w:tc>
        <w:tc>
          <w:tcPr>
            <w:tcW w:w="4536" w:type="dxa"/>
            <w:noWrap w:val="0"/>
            <w:vAlign w:val="top"/>
          </w:tcPr>
          <w:p w14:paraId="68697635"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Lines="50" w:beforeAutospacing="0" w:afterLines="50" w:afterAutospacing="0" w:line="360" w:lineRule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日期：</w:t>
            </w:r>
          </w:p>
        </w:tc>
      </w:tr>
      <w:tr w14:paraId="19C10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28" w:type="dxa"/>
            <w:noWrap w:val="0"/>
            <w:vAlign w:val="top"/>
          </w:tcPr>
          <w:p w14:paraId="784B641A"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Lines="50" w:beforeAutospacing="0" w:afterLines="50" w:afterAutospacing="0" w:line="360" w:lineRule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4536" w:type="dxa"/>
            <w:noWrap w:val="0"/>
            <w:vAlign w:val="top"/>
          </w:tcPr>
          <w:p w14:paraId="4B6C5A82"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Lines="50" w:beforeAutospacing="0" w:afterLines="50" w:afterAutospacing="0" w:line="360" w:lineRule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 w14:paraId="654D1809"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7EE8B9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49F749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A49F749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E60CFF"/>
    <w:multiLevelType w:val="multilevel"/>
    <w:tmpl w:val="1AE60CFF"/>
    <w:lvl w:ilvl="0" w:tentative="0">
      <w:start w:val="1"/>
      <w:numFmt w:val="japaneseCounting"/>
      <w:lvlText w:val="第%1条"/>
      <w:lvlJc w:val="left"/>
      <w:pPr>
        <w:ind w:left="1552" w:hanging="9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2" w:hanging="420"/>
      </w:pPr>
    </w:lvl>
    <w:lvl w:ilvl="2" w:tentative="0">
      <w:start w:val="1"/>
      <w:numFmt w:val="lowerRoman"/>
      <w:lvlText w:val="%3."/>
      <w:lvlJc w:val="right"/>
      <w:pPr>
        <w:ind w:left="1822" w:hanging="420"/>
      </w:pPr>
    </w:lvl>
    <w:lvl w:ilvl="3" w:tentative="0">
      <w:start w:val="1"/>
      <w:numFmt w:val="decimal"/>
      <w:lvlText w:val="%4."/>
      <w:lvlJc w:val="left"/>
      <w:pPr>
        <w:ind w:left="2242" w:hanging="420"/>
      </w:pPr>
    </w:lvl>
    <w:lvl w:ilvl="4" w:tentative="0">
      <w:start w:val="1"/>
      <w:numFmt w:val="lowerLetter"/>
      <w:lvlText w:val="%5)"/>
      <w:lvlJc w:val="left"/>
      <w:pPr>
        <w:ind w:left="2662" w:hanging="420"/>
      </w:pPr>
    </w:lvl>
    <w:lvl w:ilvl="5" w:tentative="0">
      <w:start w:val="1"/>
      <w:numFmt w:val="lowerRoman"/>
      <w:lvlText w:val="%6."/>
      <w:lvlJc w:val="right"/>
      <w:pPr>
        <w:ind w:left="3082" w:hanging="420"/>
      </w:pPr>
    </w:lvl>
    <w:lvl w:ilvl="6" w:tentative="0">
      <w:start w:val="1"/>
      <w:numFmt w:val="decimal"/>
      <w:lvlText w:val="%7."/>
      <w:lvlJc w:val="left"/>
      <w:pPr>
        <w:ind w:left="3502" w:hanging="420"/>
      </w:pPr>
    </w:lvl>
    <w:lvl w:ilvl="7" w:tentative="0">
      <w:start w:val="1"/>
      <w:numFmt w:val="lowerLetter"/>
      <w:lvlText w:val="%8)"/>
      <w:lvlJc w:val="left"/>
      <w:pPr>
        <w:ind w:left="3922" w:hanging="420"/>
      </w:pPr>
    </w:lvl>
    <w:lvl w:ilvl="8" w:tentative="0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ZDQyNGI4ZDA4MTYzMzk5NDMwMmI3MzczMDZjMzgifQ=="/>
  </w:docVars>
  <w:rsids>
    <w:rsidRoot w:val="00000000"/>
    <w:rsid w:val="01857930"/>
    <w:rsid w:val="01AC5842"/>
    <w:rsid w:val="01AE3368"/>
    <w:rsid w:val="01F9035B"/>
    <w:rsid w:val="02F81913"/>
    <w:rsid w:val="03217B69"/>
    <w:rsid w:val="034A5312"/>
    <w:rsid w:val="03597303"/>
    <w:rsid w:val="056F72B2"/>
    <w:rsid w:val="058645FB"/>
    <w:rsid w:val="05E337FC"/>
    <w:rsid w:val="06FD5E6A"/>
    <w:rsid w:val="078F59E9"/>
    <w:rsid w:val="0822685D"/>
    <w:rsid w:val="089963F4"/>
    <w:rsid w:val="08C73EFD"/>
    <w:rsid w:val="093525C0"/>
    <w:rsid w:val="0A786C09"/>
    <w:rsid w:val="0BA47589"/>
    <w:rsid w:val="0C2C75CB"/>
    <w:rsid w:val="0D0C53E6"/>
    <w:rsid w:val="0D6C5618"/>
    <w:rsid w:val="0E176739"/>
    <w:rsid w:val="0E356BBF"/>
    <w:rsid w:val="0E4E0DC1"/>
    <w:rsid w:val="0E59465B"/>
    <w:rsid w:val="0E5C05EF"/>
    <w:rsid w:val="0EC71F0D"/>
    <w:rsid w:val="0F9811B3"/>
    <w:rsid w:val="0F9A4F2B"/>
    <w:rsid w:val="0FAE4E7B"/>
    <w:rsid w:val="101168A4"/>
    <w:rsid w:val="106F460A"/>
    <w:rsid w:val="10EC4936"/>
    <w:rsid w:val="11112DF6"/>
    <w:rsid w:val="11DC7A7D"/>
    <w:rsid w:val="11F33019"/>
    <w:rsid w:val="122A0E23"/>
    <w:rsid w:val="147815B3"/>
    <w:rsid w:val="1497412F"/>
    <w:rsid w:val="15B66837"/>
    <w:rsid w:val="15D8055B"/>
    <w:rsid w:val="16E318AE"/>
    <w:rsid w:val="170F26A3"/>
    <w:rsid w:val="17AF353E"/>
    <w:rsid w:val="17E458DD"/>
    <w:rsid w:val="1844012A"/>
    <w:rsid w:val="191A4F3D"/>
    <w:rsid w:val="197E141A"/>
    <w:rsid w:val="19ED1897"/>
    <w:rsid w:val="1A226249"/>
    <w:rsid w:val="1A381F10"/>
    <w:rsid w:val="1A66082C"/>
    <w:rsid w:val="1B395F40"/>
    <w:rsid w:val="1BB914AF"/>
    <w:rsid w:val="1C406E5A"/>
    <w:rsid w:val="1C4F3541"/>
    <w:rsid w:val="1E3C5863"/>
    <w:rsid w:val="1FCC1ADC"/>
    <w:rsid w:val="2000702C"/>
    <w:rsid w:val="20EA55E7"/>
    <w:rsid w:val="215A276C"/>
    <w:rsid w:val="2228286B"/>
    <w:rsid w:val="22B702B1"/>
    <w:rsid w:val="2392443F"/>
    <w:rsid w:val="239A1546"/>
    <w:rsid w:val="23A65EF7"/>
    <w:rsid w:val="26233A75"/>
    <w:rsid w:val="26851845"/>
    <w:rsid w:val="28C57065"/>
    <w:rsid w:val="293715E5"/>
    <w:rsid w:val="29CC7F7F"/>
    <w:rsid w:val="29DB4666"/>
    <w:rsid w:val="2AC670C5"/>
    <w:rsid w:val="2B0B4CDE"/>
    <w:rsid w:val="2BC25ADE"/>
    <w:rsid w:val="2CC66F08"/>
    <w:rsid w:val="2CD0422B"/>
    <w:rsid w:val="2CD62DC3"/>
    <w:rsid w:val="2DF07482"/>
    <w:rsid w:val="2F9E5F1A"/>
    <w:rsid w:val="30801AC4"/>
    <w:rsid w:val="3115220C"/>
    <w:rsid w:val="31D64091"/>
    <w:rsid w:val="327B69E7"/>
    <w:rsid w:val="32EB76C8"/>
    <w:rsid w:val="33154745"/>
    <w:rsid w:val="348E0C53"/>
    <w:rsid w:val="34F605A6"/>
    <w:rsid w:val="35B20971"/>
    <w:rsid w:val="3608233F"/>
    <w:rsid w:val="368C4D1E"/>
    <w:rsid w:val="37333680"/>
    <w:rsid w:val="37884465"/>
    <w:rsid w:val="390E2362"/>
    <w:rsid w:val="3A3A0F35"/>
    <w:rsid w:val="3C2B322B"/>
    <w:rsid w:val="3E9C5D1B"/>
    <w:rsid w:val="3F501B6B"/>
    <w:rsid w:val="40A1240F"/>
    <w:rsid w:val="40B25CC9"/>
    <w:rsid w:val="410A1661"/>
    <w:rsid w:val="41F30347"/>
    <w:rsid w:val="42786A9F"/>
    <w:rsid w:val="42BF46CD"/>
    <w:rsid w:val="442A778D"/>
    <w:rsid w:val="44613C8E"/>
    <w:rsid w:val="44AB0037"/>
    <w:rsid w:val="44F22B38"/>
    <w:rsid w:val="454A69C2"/>
    <w:rsid w:val="45C02C36"/>
    <w:rsid w:val="469A3487"/>
    <w:rsid w:val="46E42955"/>
    <w:rsid w:val="47CF0F0F"/>
    <w:rsid w:val="48702013"/>
    <w:rsid w:val="487B4BF3"/>
    <w:rsid w:val="49E113CD"/>
    <w:rsid w:val="4A753438"/>
    <w:rsid w:val="4A857FAB"/>
    <w:rsid w:val="4CAF57B3"/>
    <w:rsid w:val="4E2F3BF3"/>
    <w:rsid w:val="4E994025"/>
    <w:rsid w:val="4EFC770F"/>
    <w:rsid w:val="4F10078B"/>
    <w:rsid w:val="4F135B85"/>
    <w:rsid w:val="4F93316A"/>
    <w:rsid w:val="50E772C9"/>
    <w:rsid w:val="510A2FB8"/>
    <w:rsid w:val="52A01E26"/>
    <w:rsid w:val="52E837CD"/>
    <w:rsid w:val="53316F22"/>
    <w:rsid w:val="541C1980"/>
    <w:rsid w:val="55195EBF"/>
    <w:rsid w:val="55DA73FC"/>
    <w:rsid w:val="57961A49"/>
    <w:rsid w:val="580738AF"/>
    <w:rsid w:val="586E6522"/>
    <w:rsid w:val="591A3FB4"/>
    <w:rsid w:val="59B61F2F"/>
    <w:rsid w:val="59D93E6F"/>
    <w:rsid w:val="5AE62B32"/>
    <w:rsid w:val="5D4930BA"/>
    <w:rsid w:val="5D92679D"/>
    <w:rsid w:val="5E115985"/>
    <w:rsid w:val="5F5226F9"/>
    <w:rsid w:val="601479AF"/>
    <w:rsid w:val="60C40483"/>
    <w:rsid w:val="61442516"/>
    <w:rsid w:val="624F2F20"/>
    <w:rsid w:val="62EA0E9B"/>
    <w:rsid w:val="63B514A9"/>
    <w:rsid w:val="65613696"/>
    <w:rsid w:val="659D0447"/>
    <w:rsid w:val="65E63183"/>
    <w:rsid w:val="667473F9"/>
    <w:rsid w:val="69FC1BE0"/>
    <w:rsid w:val="6A414A77"/>
    <w:rsid w:val="6AB8057A"/>
    <w:rsid w:val="6B272C8C"/>
    <w:rsid w:val="6B3453A9"/>
    <w:rsid w:val="6BBA6973"/>
    <w:rsid w:val="6CB95B66"/>
    <w:rsid w:val="6CBB73C0"/>
    <w:rsid w:val="6FDC1B6B"/>
    <w:rsid w:val="6FFB46E7"/>
    <w:rsid w:val="708F6BDE"/>
    <w:rsid w:val="716D6F1F"/>
    <w:rsid w:val="71B0505E"/>
    <w:rsid w:val="72181581"/>
    <w:rsid w:val="72343EE1"/>
    <w:rsid w:val="72477770"/>
    <w:rsid w:val="73075151"/>
    <w:rsid w:val="736425A4"/>
    <w:rsid w:val="73B149F2"/>
    <w:rsid w:val="744C5512"/>
    <w:rsid w:val="74B60BDD"/>
    <w:rsid w:val="75104791"/>
    <w:rsid w:val="785B6C5B"/>
    <w:rsid w:val="7AB21E46"/>
    <w:rsid w:val="7B8108D3"/>
    <w:rsid w:val="7C701FB9"/>
    <w:rsid w:val="7C9E6B26"/>
    <w:rsid w:val="7D4C6582"/>
    <w:rsid w:val="7D67516A"/>
    <w:rsid w:val="7D7F0706"/>
    <w:rsid w:val="7E545B78"/>
    <w:rsid w:val="7EC64112"/>
    <w:rsid w:val="7EDB7BBE"/>
    <w:rsid w:val="7F457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黑体" w:cs="Times New Roman"/>
      <w:b/>
      <w:bCs/>
      <w:spacing w:val="20"/>
      <w:kern w:val="52"/>
      <w:sz w:val="56"/>
      <w:szCs w:val="24"/>
    </w:rPr>
  </w:style>
  <w:style w:type="paragraph" w:styleId="3">
    <w:name w:val="Body Text 2"/>
    <w:basedOn w:val="1"/>
    <w:qFormat/>
    <w:uiPriority w:val="0"/>
    <w:pPr>
      <w:spacing w:after="120" w:line="480" w:lineRule="auto"/>
    </w:pPr>
  </w:style>
  <w:style w:type="paragraph" w:styleId="4">
    <w:name w:val="Normal Indent"/>
    <w:basedOn w:val="1"/>
    <w:qFormat/>
    <w:uiPriority w:val="0"/>
    <w:pPr>
      <w:ind w:firstLine="200" w:firstLineChars="20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Plain Text"/>
    <w:basedOn w:val="1"/>
    <w:qFormat/>
    <w:uiPriority w:val="0"/>
    <w:rPr>
      <w:rFonts w:ascii="宋体" w:hAnsi="Courier New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font51"/>
    <w:basedOn w:val="12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4">
    <w:name w:val="font0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121"/>
    <w:basedOn w:val="12"/>
    <w:qFormat/>
    <w:uiPriority w:val="0"/>
    <w:rPr>
      <w:rFonts w:ascii="Wingdings 2" w:hAnsi="Wingdings 2" w:eastAsia="Wingdings 2" w:cs="Wingdings 2"/>
      <w:color w:val="000000"/>
      <w:sz w:val="22"/>
      <w:szCs w:val="22"/>
      <w:u w:val="none"/>
    </w:rPr>
  </w:style>
  <w:style w:type="character" w:customStyle="1" w:styleId="16">
    <w:name w:val="font3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131"/>
    <w:basedOn w:val="12"/>
    <w:qFormat/>
    <w:uiPriority w:val="0"/>
    <w:rPr>
      <w:rFonts w:ascii="Calibri" w:hAnsi="Calibri" w:cs="Calibri"/>
      <w:color w:val="000000"/>
      <w:sz w:val="18"/>
      <w:szCs w:val="18"/>
      <w:u w:val="none"/>
    </w:rPr>
  </w:style>
  <w:style w:type="character" w:customStyle="1" w:styleId="18">
    <w:name w:val="font14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151"/>
    <w:basedOn w:val="12"/>
    <w:qFormat/>
    <w:uiPriority w:val="0"/>
    <w:rPr>
      <w:rFonts w:hint="default" w:ascii="Calibri" w:hAnsi="Calibri" w:cs="Calibri"/>
      <w:color w:val="000000"/>
      <w:sz w:val="18"/>
      <w:szCs w:val="18"/>
      <w:u w:val="none"/>
    </w:rPr>
  </w:style>
  <w:style w:type="character" w:customStyle="1" w:styleId="20">
    <w:name w:val="font16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1">
    <w:name w:val="font8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1938</Words>
  <Characters>1967</Characters>
  <Lines>0</Lines>
  <Paragraphs>0</Paragraphs>
  <TotalTime>0</TotalTime>
  <ScaleCrop>false</ScaleCrop>
  <LinksUpToDate>false</LinksUpToDate>
  <CharactersWithSpaces>1987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2025-05-15T02:34:00Z</dcterms:created>
  <dc:creator>Administrator</dc:creator>
  <cp:lastModifiedBy>黄艳</cp:lastModifiedBy>
  <dcterms:modified xsi:type="dcterms:W3CDTF">2025-09-29T09:20:31Z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eyJoZGlkIjoiMjE1N2U2OGY4MTZlM2U2Njc5OTkzMWE1ZmM0NTgyNTQiLCJ1c2VySWQiOiIxNTM1Mjc0Mzk0In0=</vt:lpwstr>
  </property>
  <property fmtid="{D5CDD505-2E9C-101B-9397-08002B2CF9AE}" pid="4" name="ICV">
    <vt:lpwstr>55B7CC4C744F407C9F6451E6B6D4C1F9_13</vt:lpwstr>
  </property>
</Properties>
</file>